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4A261C" w14:textId="77777777" w:rsidR="00233C6E" w:rsidRDefault="00233C6E" w:rsidP="005F0271">
      <w:pPr>
        <w:jc w:val="center"/>
        <w:rPr>
          <w:b/>
          <w:bCs/>
          <w:sz w:val="26"/>
          <w:szCs w:val="26"/>
          <w:rtl/>
        </w:rPr>
      </w:pPr>
      <w:bookmarkStart w:id="0" w:name="_Toc61248052"/>
      <w:bookmarkStart w:id="1" w:name="_Toc61248071"/>
      <w:bookmarkStart w:id="2" w:name="_Toc70352828"/>
      <w:bookmarkStart w:id="3" w:name="_Toc70352847"/>
      <w:bookmarkStart w:id="4" w:name="_Toc70352870"/>
      <w:bookmarkStart w:id="5" w:name="_Toc70352889"/>
      <w:bookmarkStart w:id="6" w:name="_GoBack"/>
      <w:bookmarkEnd w:id="6"/>
      <w:r>
        <w:rPr>
          <w:noProof/>
        </w:rPr>
        <w:drawing>
          <wp:inline distT="0" distB="0" distL="0" distR="0" wp14:anchorId="0506322C" wp14:editId="59BF62CD">
            <wp:extent cx="509905" cy="624205"/>
            <wp:effectExtent l="0" t="0" r="4445" b="4445"/>
            <wp:docPr id="1" name="תמונה 1" descr="סמל המדינה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תמונה 1" descr="סמל המדינה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A4D212" w14:textId="77777777" w:rsidR="00233C6E" w:rsidRDefault="00233C6E" w:rsidP="005F0271">
      <w:pPr>
        <w:rPr>
          <w:b/>
          <w:bCs/>
          <w:sz w:val="26"/>
          <w:szCs w:val="26"/>
          <w:rtl/>
        </w:rPr>
      </w:pPr>
      <w:r w:rsidRPr="00CB5068">
        <w:rPr>
          <w:b/>
          <w:bCs/>
          <w:sz w:val="26"/>
          <w:szCs w:val="26"/>
          <w:rtl/>
        </w:rPr>
        <w:t>תוכן עניינים</w:t>
      </w:r>
    </w:p>
    <w:p w14:paraId="4267602B" w14:textId="6C81C956" w:rsidR="00FB6796" w:rsidRDefault="00233C6E">
      <w:pPr>
        <w:pStyle w:val="TOC1"/>
        <w:rPr>
          <w:rFonts w:asciiTheme="minorHAnsi" w:eastAsiaTheme="minorEastAsia" w:hAnsiTheme="minorHAnsi" w:cstheme="minorBidi"/>
          <w:bCs w:val="0"/>
          <w:noProof/>
          <w:sz w:val="22"/>
          <w:rtl/>
        </w:rPr>
      </w:pP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instrText>TOC</w:instrText>
      </w:r>
      <w:r>
        <w:rPr>
          <w:rtl/>
        </w:rPr>
        <w:instrText xml:space="preserve"> \</w:instrText>
      </w:r>
      <w:r>
        <w:instrText>o "1-9" \h \z \t "Table SideHeading,3,Table Head,2,Head HatzaotHok,1,Head DivreiHesber,2,Head HatzaotHok4Futer,1</w:instrText>
      </w:r>
      <w:r>
        <w:rPr>
          <w:rtl/>
        </w:rPr>
        <w:instrText xml:space="preserve">" </w:instrText>
      </w:r>
      <w:r>
        <w:rPr>
          <w:rtl/>
        </w:rPr>
        <w:fldChar w:fldCharType="separate"/>
      </w:r>
      <w:hyperlink w:anchor="_Toc71112894" w:history="1">
        <w:r w:rsidR="00FB6796" w:rsidRPr="00C91911">
          <w:rPr>
            <w:rStyle w:val="Hyperlink"/>
            <w:noProof/>
            <w:rtl/>
          </w:rPr>
          <w:t>טיוטת כללים</w:t>
        </w:r>
        <w:r w:rsidR="00FB6796">
          <w:rPr>
            <w:noProof/>
            <w:webHidden/>
            <w:rtl/>
          </w:rPr>
          <w:tab/>
        </w:r>
        <w:r w:rsidR="00FB6796">
          <w:rPr>
            <w:rStyle w:val="Hyperlink"/>
            <w:noProof/>
            <w:rtl/>
          </w:rPr>
          <w:fldChar w:fldCharType="begin"/>
        </w:r>
        <w:r w:rsidR="00FB6796">
          <w:rPr>
            <w:noProof/>
            <w:webHidden/>
            <w:rtl/>
          </w:rPr>
          <w:instrText xml:space="preserve"> </w:instrText>
        </w:r>
        <w:r w:rsidR="00FB6796">
          <w:rPr>
            <w:noProof/>
            <w:webHidden/>
          </w:rPr>
          <w:instrText>PAGEREF</w:instrText>
        </w:r>
        <w:r w:rsidR="00FB6796">
          <w:rPr>
            <w:noProof/>
            <w:webHidden/>
            <w:rtl/>
          </w:rPr>
          <w:instrText xml:space="preserve"> _</w:instrText>
        </w:r>
        <w:r w:rsidR="00FB6796">
          <w:rPr>
            <w:noProof/>
            <w:webHidden/>
          </w:rPr>
          <w:instrText>Toc71112894 \h</w:instrText>
        </w:r>
        <w:r w:rsidR="00FB6796">
          <w:rPr>
            <w:noProof/>
            <w:webHidden/>
            <w:rtl/>
          </w:rPr>
          <w:instrText xml:space="preserve"> </w:instrText>
        </w:r>
        <w:r w:rsidR="00FB6796">
          <w:rPr>
            <w:rStyle w:val="Hyperlink"/>
            <w:noProof/>
            <w:rtl/>
          </w:rPr>
        </w:r>
        <w:r w:rsidR="00FB6796">
          <w:rPr>
            <w:rStyle w:val="Hyperlink"/>
            <w:noProof/>
            <w:rtl/>
          </w:rPr>
          <w:fldChar w:fldCharType="separate"/>
        </w:r>
        <w:r w:rsidR="00FB6796">
          <w:rPr>
            <w:noProof/>
            <w:webHidden/>
            <w:rtl/>
          </w:rPr>
          <w:t>2</w:t>
        </w:r>
        <w:r w:rsidR="00FB6796">
          <w:rPr>
            <w:rStyle w:val="Hyperlink"/>
            <w:noProof/>
            <w:rtl/>
          </w:rPr>
          <w:fldChar w:fldCharType="end"/>
        </w:r>
      </w:hyperlink>
    </w:p>
    <w:p w14:paraId="12E12D7C" w14:textId="349F6164" w:rsidR="00FB6796" w:rsidRDefault="006F3DFA">
      <w:pPr>
        <w:pStyle w:val="TOC4"/>
        <w:rPr>
          <w:rFonts w:cstheme="minorBidi"/>
          <w:rtl/>
        </w:rPr>
      </w:pPr>
      <w:hyperlink w:anchor="_Toc71112895" w:history="1">
        <w:r w:rsidR="00FB6796" w:rsidRPr="00C91911">
          <w:rPr>
            <w:rStyle w:val="Hyperlink"/>
            <w:rtl/>
          </w:rPr>
          <w:t>א. שם הכללים המוצעים</w:t>
        </w:r>
        <w:r w:rsidR="00FB6796">
          <w:rPr>
            <w:webHidden/>
            <w:rtl/>
          </w:rPr>
          <w:tab/>
        </w:r>
        <w:r w:rsidR="00FB6796">
          <w:rPr>
            <w:rStyle w:val="Hyperlink"/>
            <w:rtl/>
          </w:rPr>
          <w:fldChar w:fldCharType="begin"/>
        </w:r>
        <w:r w:rsidR="00FB6796">
          <w:rPr>
            <w:webHidden/>
            <w:rtl/>
          </w:rPr>
          <w:instrText xml:space="preserve"> </w:instrText>
        </w:r>
        <w:r w:rsidR="00FB6796">
          <w:rPr>
            <w:webHidden/>
          </w:rPr>
          <w:instrText>PAGEREF</w:instrText>
        </w:r>
        <w:r w:rsidR="00FB6796">
          <w:rPr>
            <w:webHidden/>
            <w:rtl/>
          </w:rPr>
          <w:instrText xml:space="preserve"> _</w:instrText>
        </w:r>
        <w:r w:rsidR="00FB6796">
          <w:rPr>
            <w:webHidden/>
          </w:rPr>
          <w:instrText>Toc71112895 \h</w:instrText>
        </w:r>
        <w:r w:rsidR="00FB6796">
          <w:rPr>
            <w:webHidden/>
            <w:rtl/>
          </w:rPr>
          <w:instrText xml:space="preserve"> </w:instrText>
        </w:r>
        <w:r w:rsidR="00FB6796">
          <w:rPr>
            <w:rStyle w:val="Hyperlink"/>
            <w:rtl/>
          </w:rPr>
        </w:r>
        <w:r w:rsidR="00FB6796">
          <w:rPr>
            <w:rStyle w:val="Hyperlink"/>
            <w:rtl/>
          </w:rPr>
          <w:fldChar w:fldCharType="separate"/>
        </w:r>
        <w:r w:rsidR="00FB6796">
          <w:rPr>
            <w:webHidden/>
            <w:rtl/>
          </w:rPr>
          <w:t>2</w:t>
        </w:r>
        <w:r w:rsidR="00FB6796">
          <w:rPr>
            <w:rStyle w:val="Hyperlink"/>
            <w:rtl/>
          </w:rPr>
          <w:fldChar w:fldCharType="end"/>
        </w:r>
      </w:hyperlink>
    </w:p>
    <w:p w14:paraId="639ABC0C" w14:textId="38EA3DD8" w:rsidR="00FB6796" w:rsidRDefault="006F3DFA">
      <w:pPr>
        <w:pStyle w:val="TOC4"/>
        <w:rPr>
          <w:rFonts w:cstheme="minorBidi"/>
          <w:rtl/>
        </w:rPr>
      </w:pPr>
      <w:hyperlink w:anchor="_Toc71112896" w:history="1">
        <w:r w:rsidR="00FB6796" w:rsidRPr="00C91911">
          <w:rPr>
            <w:rStyle w:val="Hyperlink"/>
            <w:rtl/>
          </w:rPr>
          <w:t>ב. מטרת הכללים המוצעים והצורך בהם</w:t>
        </w:r>
        <w:r w:rsidR="00FB6796">
          <w:rPr>
            <w:webHidden/>
            <w:rtl/>
          </w:rPr>
          <w:tab/>
        </w:r>
        <w:r w:rsidR="00FB6796">
          <w:rPr>
            <w:rStyle w:val="Hyperlink"/>
            <w:rtl/>
          </w:rPr>
          <w:fldChar w:fldCharType="begin"/>
        </w:r>
        <w:r w:rsidR="00FB6796">
          <w:rPr>
            <w:webHidden/>
            <w:rtl/>
          </w:rPr>
          <w:instrText xml:space="preserve"> </w:instrText>
        </w:r>
        <w:r w:rsidR="00FB6796">
          <w:rPr>
            <w:webHidden/>
          </w:rPr>
          <w:instrText>PAGEREF</w:instrText>
        </w:r>
        <w:r w:rsidR="00FB6796">
          <w:rPr>
            <w:webHidden/>
            <w:rtl/>
          </w:rPr>
          <w:instrText xml:space="preserve"> _</w:instrText>
        </w:r>
        <w:r w:rsidR="00FB6796">
          <w:rPr>
            <w:webHidden/>
          </w:rPr>
          <w:instrText>Toc71112896 \h</w:instrText>
        </w:r>
        <w:r w:rsidR="00FB6796">
          <w:rPr>
            <w:webHidden/>
            <w:rtl/>
          </w:rPr>
          <w:instrText xml:space="preserve"> </w:instrText>
        </w:r>
        <w:r w:rsidR="00FB6796">
          <w:rPr>
            <w:rStyle w:val="Hyperlink"/>
            <w:rtl/>
          </w:rPr>
        </w:r>
        <w:r w:rsidR="00FB6796">
          <w:rPr>
            <w:rStyle w:val="Hyperlink"/>
            <w:rtl/>
          </w:rPr>
          <w:fldChar w:fldCharType="separate"/>
        </w:r>
        <w:r w:rsidR="00FB6796">
          <w:rPr>
            <w:webHidden/>
            <w:rtl/>
          </w:rPr>
          <w:t>2</w:t>
        </w:r>
        <w:r w:rsidR="00FB6796">
          <w:rPr>
            <w:rStyle w:val="Hyperlink"/>
            <w:rtl/>
          </w:rPr>
          <w:fldChar w:fldCharType="end"/>
        </w:r>
      </w:hyperlink>
    </w:p>
    <w:p w14:paraId="422CF592" w14:textId="09A6BE4A" w:rsidR="00FB6796" w:rsidRDefault="006F3DFA">
      <w:pPr>
        <w:pStyle w:val="TOC4"/>
        <w:rPr>
          <w:rFonts w:cstheme="minorBidi"/>
          <w:rtl/>
        </w:rPr>
      </w:pPr>
      <w:hyperlink w:anchor="_Toc71112897" w:history="1">
        <w:r w:rsidR="00FB6796" w:rsidRPr="00C91911">
          <w:rPr>
            <w:rStyle w:val="Hyperlink"/>
            <w:rtl/>
          </w:rPr>
          <w:t>ג. להלן נוסח טיוטת הכללים המוצעים:</w:t>
        </w:r>
        <w:r w:rsidR="00FB6796">
          <w:rPr>
            <w:webHidden/>
            <w:rtl/>
          </w:rPr>
          <w:tab/>
        </w:r>
        <w:r w:rsidR="00FB6796">
          <w:rPr>
            <w:rStyle w:val="Hyperlink"/>
            <w:rtl/>
          </w:rPr>
          <w:fldChar w:fldCharType="begin"/>
        </w:r>
        <w:r w:rsidR="00FB6796">
          <w:rPr>
            <w:webHidden/>
            <w:rtl/>
          </w:rPr>
          <w:instrText xml:space="preserve"> </w:instrText>
        </w:r>
        <w:r w:rsidR="00FB6796">
          <w:rPr>
            <w:webHidden/>
          </w:rPr>
          <w:instrText>PAGEREF</w:instrText>
        </w:r>
        <w:r w:rsidR="00FB6796">
          <w:rPr>
            <w:webHidden/>
            <w:rtl/>
          </w:rPr>
          <w:instrText xml:space="preserve"> _</w:instrText>
        </w:r>
        <w:r w:rsidR="00FB6796">
          <w:rPr>
            <w:webHidden/>
          </w:rPr>
          <w:instrText>Toc71112897 \h</w:instrText>
        </w:r>
        <w:r w:rsidR="00FB6796">
          <w:rPr>
            <w:webHidden/>
            <w:rtl/>
          </w:rPr>
          <w:instrText xml:space="preserve"> </w:instrText>
        </w:r>
        <w:r w:rsidR="00FB6796">
          <w:rPr>
            <w:rStyle w:val="Hyperlink"/>
            <w:rtl/>
          </w:rPr>
        </w:r>
        <w:r w:rsidR="00FB6796">
          <w:rPr>
            <w:rStyle w:val="Hyperlink"/>
            <w:rtl/>
          </w:rPr>
          <w:fldChar w:fldCharType="separate"/>
        </w:r>
        <w:r w:rsidR="00FB6796">
          <w:rPr>
            <w:webHidden/>
            <w:rtl/>
          </w:rPr>
          <w:t>2</w:t>
        </w:r>
        <w:r w:rsidR="00FB6796">
          <w:rPr>
            <w:rStyle w:val="Hyperlink"/>
            <w:rtl/>
          </w:rPr>
          <w:fldChar w:fldCharType="end"/>
        </w:r>
      </w:hyperlink>
    </w:p>
    <w:p w14:paraId="51D5BA61" w14:textId="78A310A6" w:rsidR="00FB6796" w:rsidRDefault="006F3DFA">
      <w:pPr>
        <w:pStyle w:val="TOC1"/>
        <w:rPr>
          <w:rFonts w:asciiTheme="minorHAnsi" w:eastAsiaTheme="minorEastAsia" w:hAnsiTheme="minorHAnsi" w:cstheme="minorBidi"/>
          <w:bCs w:val="0"/>
          <w:noProof/>
          <w:sz w:val="22"/>
          <w:rtl/>
        </w:rPr>
      </w:pPr>
      <w:hyperlink w:anchor="_Toc71112898" w:history="1">
        <w:r w:rsidR="00FB6796" w:rsidRPr="00C91911">
          <w:rPr>
            <w:rStyle w:val="Hyperlink"/>
            <w:noProof/>
            <w:rtl/>
          </w:rPr>
          <w:t xml:space="preserve">טיוטת כללי ההגבלים העסקיים (פטור סוג להסדרים שאינם אופקיים ואין בהם </w:t>
        </w:r>
        <w:r w:rsidR="00FB6796" w:rsidRPr="00C91911">
          <w:rPr>
            <w:rStyle w:val="Hyperlink"/>
            <w:noProof/>
          </w:rPr>
          <w:t xml:space="preserve"> </w:t>
        </w:r>
        <w:r w:rsidR="00FB6796" w:rsidRPr="00C91911">
          <w:rPr>
            <w:rStyle w:val="Hyperlink"/>
            <w:noProof/>
            <w:rtl/>
          </w:rPr>
          <w:t>כבילות מחיר מסוימות) (הוראת שעה) (תיקון), התשפ"א-2021</w:t>
        </w:r>
        <w:r w:rsidR="00FB6796">
          <w:rPr>
            <w:noProof/>
            <w:webHidden/>
            <w:rtl/>
          </w:rPr>
          <w:tab/>
        </w:r>
        <w:r w:rsidR="00FB6796">
          <w:rPr>
            <w:rStyle w:val="Hyperlink"/>
            <w:noProof/>
            <w:rtl/>
          </w:rPr>
          <w:fldChar w:fldCharType="begin"/>
        </w:r>
        <w:r w:rsidR="00FB6796">
          <w:rPr>
            <w:noProof/>
            <w:webHidden/>
            <w:rtl/>
          </w:rPr>
          <w:instrText xml:space="preserve"> </w:instrText>
        </w:r>
        <w:r w:rsidR="00FB6796">
          <w:rPr>
            <w:noProof/>
            <w:webHidden/>
          </w:rPr>
          <w:instrText>PAGEREF</w:instrText>
        </w:r>
        <w:r w:rsidR="00FB6796">
          <w:rPr>
            <w:noProof/>
            <w:webHidden/>
            <w:rtl/>
          </w:rPr>
          <w:instrText xml:space="preserve"> _</w:instrText>
        </w:r>
        <w:r w:rsidR="00FB6796">
          <w:rPr>
            <w:noProof/>
            <w:webHidden/>
          </w:rPr>
          <w:instrText>Toc71112898 \h</w:instrText>
        </w:r>
        <w:r w:rsidR="00FB6796">
          <w:rPr>
            <w:noProof/>
            <w:webHidden/>
            <w:rtl/>
          </w:rPr>
          <w:instrText xml:space="preserve"> </w:instrText>
        </w:r>
        <w:r w:rsidR="00FB6796">
          <w:rPr>
            <w:rStyle w:val="Hyperlink"/>
            <w:noProof/>
            <w:rtl/>
          </w:rPr>
        </w:r>
        <w:r w:rsidR="00FB6796">
          <w:rPr>
            <w:rStyle w:val="Hyperlink"/>
            <w:noProof/>
            <w:rtl/>
          </w:rPr>
          <w:fldChar w:fldCharType="separate"/>
        </w:r>
        <w:r w:rsidR="00FB6796">
          <w:rPr>
            <w:noProof/>
            <w:webHidden/>
            <w:rtl/>
          </w:rPr>
          <w:t>3</w:t>
        </w:r>
        <w:r w:rsidR="00FB6796">
          <w:rPr>
            <w:rStyle w:val="Hyperlink"/>
            <w:noProof/>
            <w:rtl/>
          </w:rPr>
          <w:fldChar w:fldCharType="end"/>
        </w:r>
      </w:hyperlink>
    </w:p>
    <w:p w14:paraId="0F5BFB00" w14:textId="1A3BB509" w:rsidR="00FB6796" w:rsidRDefault="006F3DFA">
      <w:pPr>
        <w:pStyle w:val="TOC3"/>
        <w:rPr>
          <w:rFonts w:asciiTheme="minorHAnsi" w:eastAsiaTheme="minorEastAsia" w:hAnsiTheme="minorHAnsi" w:cstheme="minorBidi"/>
          <w:noProof/>
          <w:sz w:val="22"/>
          <w:rtl/>
        </w:rPr>
      </w:pPr>
      <w:hyperlink w:anchor="_Toc71112899" w:history="1">
        <w:r w:rsidR="00FB6796" w:rsidRPr="00C91911">
          <w:rPr>
            <w:rStyle w:val="Hyperlink"/>
            <w:noProof/>
            <w:rtl/>
          </w:rPr>
          <w:t>תיקון השם</w:t>
        </w:r>
        <w:r w:rsidR="00FB6796">
          <w:rPr>
            <w:noProof/>
            <w:webHidden/>
            <w:rtl/>
          </w:rPr>
          <w:tab/>
        </w:r>
        <w:r w:rsidR="00FB6796">
          <w:rPr>
            <w:rStyle w:val="Hyperlink"/>
            <w:noProof/>
            <w:rtl/>
          </w:rPr>
          <w:fldChar w:fldCharType="begin"/>
        </w:r>
        <w:r w:rsidR="00FB6796">
          <w:rPr>
            <w:noProof/>
            <w:webHidden/>
            <w:rtl/>
          </w:rPr>
          <w:instrText xml:space="preserve"> </w:instrText>
        </w:r>
        <w:r w:rsidR="00FB6796">
          <w:rPr>
            <w:noProof/>
            <w:webHidden/>
          </w:rPr>
          <w:instrText>PAGEREF</w:instrText>
        </w:r>
        <w:r w:rsidR="00FB6796">
          <w:rPr>
            <w:noProof/>
            <w:webHidden/>
            <w:rtl/>
          </w:rPr>
          <w:instrText xml:space="preserve"> _</w:instrText>
        </w:r>
        <w:r w:rsidR="00FB6796">
          <w:rPr>
            <w:noProof/>
            <w:webHidden/>
          </w:rPr>
          <w:instrText>Toc71112899 \h</w:instrText>
        </w:r>
        <w:r w:rsidR="00FB6796">
          <w:rPr>
            <w:noProof/>
            <w:webHidden/>
            <w:rtl/>
          </w:rPr>
          <w:instrText xml:space="preserve"> </w:instrText>
        </w:r>
        <w:r w:rsidR="00FB6796">
          <w:rPr>
            <w:rStyle w:val="Hyperlink"/>
            <w:noProof/>
            <w:rtl/>
          </w:rPr>
        </w:r>
        <w:r w:rsidR="00FB6796">
          <w:rPr>
            <w:rStyle w:val="Hyperlink"/>
            <w:noProof/>
            <w:rtl/>
          </w:rPr>
          <w:fldChar w:fldCharType="separate"/>
        </w:r>
        <w:r w:rsidR="00FB6796">
          <w:rPr>
            <w:noProof/>
            <w:webHidden/>
            <w:rtl/>
          </w:rPr>
          <w:t>3</w:t>
        </w:r>
        <w:r w:rsidR="00FB6796">
          <w:rPr>
            <w:rStyle w:val="Hyperlink"/>
            <w:noProof/>
            <w:rtl/>
          </w:rPr>
          <w:fldChar w:fldCharType="end"/>
        </w:r>
      </w:hyperlink>
    </w:p>
    <w:p w14:paraId="56B8E7B8" w14:textId="72FEB08B" w:rsidR="00FB6796" w:rsidRDefault="006F3DFA">
      <w:pPr>
        <w:pStyle w:val="TOC3"/>
        <w:rPr>
          <w:rFonts w:asciiTheme="minorHAnsi" w:eastAsiaTheme="minorEastAsia" w:hAnsiTheme="minorHAnsi" w:cstheme="minorBidi"/>
          <w:noProof/>
          <w:sz w:val="22"/>
          <w:rtl/>
        </w:rPr>
      </w:pPr>
      <w:hyperlink w:anchor="_Toc71112900" w:history="1">
        <w:r w:rsidR="00FB6796" w:rsidRPr="00C91911">
          <w:rPr>
            <w:rStyle w:val="Hyperlink"/>
            <w:noProof/>
            <w:rtl/>
          </w:rPr>
          <w:t>תיקון הפתיח</w:t>
        </w:r>
        <w:r w:rsidR="00FB6796">
          <w:rPr>
            <w:noProof/>
            <w:webHidden/>
            <w:rtl/>
          </w:rPr>
          <w:tab/>
        </w:r>
        <w:r w:rsidR="00FB6796">
          <w:rPr>
            <w:rStyle w:val="Hyperlink"/>
            <w:noProof/>
            <w:rtl/>
          </w:rPr>
          <w:fldChar w:fldCharType="begin"/>
        </w:r>
        <w:r w:rsidR="00FB6796">
          <w:rPr>
            <w:noProof/>
            <w:webHidden/>
            <w:rtl/>
          </w:rPr>
          <w:instrText xml:space="preserve"> </w:instrText>
        </w:r>
        <w:r w:rsidR="00FB6796">
          <w:rPr>
            <w:noProof/>
            <w:webHidden/>
          </w:rPr>
          <w:instrText>PAGEREF</w:instrText>
        </w:r>
        <w:r w:rsidR="00FB6796">
          <w:rPr>
            <w:noProof/>
            <w:webHidden/>
            <w:rtl/>
          </w:rPr>
          <w:instrText xml:space="preserve"> _</w:instrText>
        </w:r>
        <w:r w:rsidR="00FB6796">
          <w:rPr>
            <w:noProof/>
            <w:webHidden/>
          </w:rPr>
          <w:instrText>Toc71112900 \h</w:instrText>
        </w:r>
        <w:r w:rsidR="00FB6796">
          <w:rPr>
            <w:noProof/>
            <w:webHidden/>
            <w:rtl/>
          </w:rPr>
          <w:instrText xml:space="preserve"> </w:instrText>
        </w:r>
        <w:r w:rsidR="00FB6796">
          <w:rPr>
            <w:rStyle w:val="Hyperlink"/>
            <w:noProof/>
            <w:rtl/>
          </w:rPr>
        </w:r>
        <w:r w:rsidR="00FB6796">
          <w:rPr>
            <w:rStyle w:val="Hyperlink"/>
            <w:noProof/>
            <w:rtl/>
          </w:rPr>
          <w:fldChar w:fldCharType="separate"/>
        </w:r>
        <w:r w:rsidR="00FB6796">
          <w:rPr>
            <w:noProof/>
            <w:webHidden/>
            <w:rtl/>
          </w:rPr>
          <w:t>3</w:t>
        </w:r>
        <w:r w:rsidR="00FB6796">
          <w:rPr>
            <w:rStyle w:val="Hyperlink"/>
            <w:noProof/>
            <w:rtl/>
          </w:rPr>
          <w:fldChar w:fldCharType="end"/>
        </w:r>
      </w:hyperlink>
    </w:p>
    <w:p w14:paraId="0E9E6AF1" w14:textId="4CAB0064" w:rsidR="00FB6796" w:rsidRDefault="006F3DFA">
      <w:pPr>
        <w:pStyle w:val="TOC3"/>
        <w:rPr>
          <w:rFonts w:asciiTheme="minorHAnsi" w:eastAsiaTheme="minorEastAsia" w:hAnsiTheme="minorHAnsi" w:cstheme="minorBidi"/>
          <w:noProof/>
          <w:sz w:val="22"/>
          <w:rtl/>
        </w:rPr>
      </w:pPr>
      <w:hyperlink w:anchor="_Toc71112901" w:history="1">
        <w:r w:rsidR="00FB6796" w:rsidRPr="00C91911">
          <w:rPr>
            <w:rStyle w:val="Hyperlink"/>
            <w:noProof/>
            <w:rtl/>
          </w:rPr>
          <w:t>תיקון סעיף 1</w:t>
        </w:r>
        <w:r w:rsidR="00FB6796">
          <w:rPr>
            <w:noProof/>
            <w:webHidden/>
            <w:rtl/>
          </w:rPr>
          <w:tab/>
        </w:r>
        <w:r w:rsidR="00FB6796">
          <w:rPr>
            <w:rStyle w:val="Hyperlink"/>
            <w:noProof/>
            <w:rtl/>
          </w:rPr>
          <w:fldChar w:fldCharType="begin"/>
        </w:r>
        <w:r w:rsidR="00FB6796">
          <w:rPr>
            <w:noProof/>
            <w:webHidden/>
            <w:rtl/>
          </w:rPr>
          <w:instrText xml:space="preserve"> </w:instrText>
        </w:r>
        <w:r w:rsidR="00FB6796">
          <w:rPr>
            <w:noProof/>
            <w:webHidden/>
          </w:rPr>
          <w:instrText>PAGEREF</w:instrText>
        </w:r>
        <w:r w:rsidR="00FB6796">
          <w:rPr>
            <w:noProof/>
            <w:webHidden/>
            <w:rtl/>
          </w:rPr>
          <w:instrText xml:space="preserve"> _</w:instrText>
        </w:r>
        <w:r w:rsidR="00FB6796">
          <w:rPr>
            <w:noProof/>
            <w:webHidden/>
          </w:rPr>
          <w:instrText>Toc71112901 \h</w:instrText>
        </w:r>
        <w:r w:rsidR="00FB6796">
          <w:rPr>
            <w:noProof/>
            <w:webHidden/>
            <w:rtl/>
          </w:rPr>
          <w:instrText xml:space="preserve"> </w:instrText>
        </w:r>
        <w:r w:rsidR="00FB6796">
          <w:rPr>
            <w:rStyle w:val="Hyperlink"/>
            <w:noProof/>
            <w:rtl/>
          </w:rPr>
        </w:r>
        <w:r w:rsidR="00FB6796">
          <w:rPr>
            <w:rStyle w:val="Hyperlink"/>
            <w:noProof/>
            <w:rtl/>
          </w:rPr>
          <w:fldChar w:fldCharType="separate"/>
        </w:r>
        <w:r w:rsidR="00FB6796">
          <w:rPr>
            <w:noProof/>
            <w:webHidden/>
            <w:rtl/>
          </w:rPr>
          <w:t>3</w:t>
        </w:r>
        <w:r w:rsidR="00FB6796">
          <w:rPr>
            <w:rStyle w:val="Hyperlink"/>
            <w:noProof/>
            <w:rtl/>
          </w:rPr>
          <w:fldChar w:fldCharType="end"/>
        </w:r>
      </w:hyperlink>
    </w:p>
    <w:p w14:paraId="6E796502" w14:textId="35F28D3B" w:rsidR="00FB6796" w:rsidRDefault="006F3DFA">
      <w:pPr>
        <w:pStyle w:val="TOC3"/>
        <w:rPr>
          <w:rFonts w:asciiTheme="minorHAnsi" w:eastAsiaTheme="minorEastAsia" w:hAnsiTheme="minorHAnsi" w:cstheme="minorBidi"/>
          <w:noProof/>
          <w:sz w:val="22"/>
          <w:rtl/>
        </w:rPr>
      </w:pPr>
      <w:hyperlink w:anchor="_Toc71112902" w:history="1">
        <w:r w:rsidR="00FB6796" w:rsidRPr="00C91911">
          <w:rPr>
            <w:rStyle w:val="Hyperlink"/>
            <w:noProof/>
            <w:rtl/>
          </w:rPr>
          <w:t>תיקון סעיף 2</w:t>
        </w:r>
        <w:r w:rsidR="00FB6796">
          <w:rPr>
            <w:noProof/>
            <w:webHidden/>
            <w:rtl/>
          </w:rPr>
          <w:tab/>
        </w:r>
        <w:r w:rsidR="00FB6796">
          <w:rPr>
            <w:rStyle w:val="Hyperlink"/>
            <w:noProof/>
            <w:rtl/>
          </w:rPr>
          <w:fldChar w:fldCharType="begin"/>
        </w:r>
        <w:r w:rsidR="00FB6796">
          <w:rPr>
            <w:noProof/>
            <w:webHidden/>
            <w:rtl/>
          </w:rPr>
          <w:instrText xml:space="preserve"> </w:instrText>
        </w:r>
        <w:r w:rsidR="00FB6796">
          <w:rPr>
            <w:noProof/>
            <w:webHidden/>
          </w:rPr>
          <w:instrText>PAGEREF</w:instrText>
        </w:r>
        <w:r w:rsidR="00FB6796">
          <w:rPr>
            <w:noProof/>
            <w:webHidden/>
            <w:rtl/>
          </w:rPr>
          <w:instrText xml:space="preserve"> _</w:instrText>
        </w:r>
        <w:r w:rsidR="00FB6796">
          <w:rPr>
            <w:noProof/>
            <w:webHidden/>
          </w:rPr>
          <w:instrText>Toc71112902 \h</w:instrText>
        </w:r>
        <w:r w:rsidR="00FB6796">
          <w:rPr>
            <w:noProof/>
            <w:webHidden/>
            <w:rtl/>
          </w:rPr>
          <w:instrText xml:space="preserve"> </w:instrText>
        </w:r>
        <w:r w:rsidR="00FB6796">
          <w:rPr>
            <w:rStyle w:val="Hyperlink"/>
            <w:noProof/>
            <w:rtl/>
          </w:rPr>
        </w:r>
        <w:r w:rsidR="00FB6796">
          <w:rPr>
            <w:rStyle w:val="Hyperlink"/>
            <w:noProof/>
            <w:rtl/>
          </w:rPr>
          <w:fldChar w:fldCharType="separate"/>
        </w:r>
        <w:r w:rsidR="00FB6796">
          <w:rPr>
            <w:noProof/>
            <w:webHidden/>
            <w:rtl/>
          </w:rPr>
          <w:t>3</w:t>
        </w:r>
        <w:r w:rsidR="00FB6796">
          <w:rPr>
            <w:rStyle w:val="Hyperlink"/>
            <w:noProof/>
            <w:rtl/>
          </w:rPr>
          <w:fldChar w:fldCharType="end"/>
        </w:r>
      </w:hyperlink>
    </w:p>
    <w:p w14:paraId="4224E62D" w14:textId="4A690560" w:rsidR="00FB6796" w:rsidRDefault="006F3DFA">
      <w:pPr>
        <w:pStyle w:val="TOC3"/>
        <w:rPr>
          <w:rFonts w:asciiTheme="minorHAnsi" w:eastAsiaTheme="minorEastAsia" w:hAnsiTheme="minorHAnsi" w:cstheme="minorBidi"/>
          <w:noProof/>
          <w:sz w:val="22"/>
          <w:rtl/>
        </w:rPr>
      </w:pPr>
      <w:hyperlink w:anchor="_Toc71112903" w:history="1">
        <w:r w:rsidR="00FB6796" w:rsidRPr="00C91911">
          <w:rPr>
            <w:rStyle w:val="Hyperlink"/>
            <w:noProof/>
            <w:rtl/>
          </w:rPr>
          <w:t>תוקף</w:t>
        </w:r>
        <w:r w:rsidR="00FB6796">
          <w:rPr>
            <w:noProof/>
            <w:webHidden/>
            <w:rtl/>
          </w:rPr>
          <w:tab/>
        </w:r>
        <w:r w:rsidR="00FB6796">
          <w:rPr>
            <w:rStyle w:val="Hyperlink"/>
            <w:noProof/>
            <w:rtl/>
          </w:rPr>
          <w:fldChar w:fldCharType="begin"/>
        </w:r>
        <w:r w:rsidR="00FB6796">
          <w:rPr>
            <w:noProof/>
            <w:webHidden/>
            <w:rtl/>
          </w:rPr>
          <w:instrText xml:space="preserve"> </w:instrText>
        </w:r>
        <w:r w:rsidR="00FB6796">
          <w:rPr>
            <w:noProof/>
            <w:webHidden/>
          </w:rPr>
          <w:instrText>PAGEREF</w:instrText>
        </w:r>
        <w:r w:rsidR="00FB6796">
          <w:rPr>
            <w:noProof/>
            <w:webHidden/>
            <w:rtl/>
          </w:rPr>
          <w:instrText xml:space="preserve"> _</w:instrText>
        </w:r>
        <w:r w:rsidR="00FB6796">
          <w:rPr>
            <w:noProof/>
            <w:webHidden/>
          </w:rPr>
          <w:instrText>Toc71112903 \h</w:instrText>
        </w:r>
        <w:r w:rsidR="00FB6796">
          <w:rPr>
            <w:noProof/>
            <w:webHidden/>
            <w:rtl/>
          </w:rPr>
          <w:instrText xml:space="preserve"> </w:instrText>
        </w:r>
        <w:r w:rsidR="00FB6796">
          <w:rPr>
            <w:rStyle w:val="Hyperlink"/>
            <w:noProof/>
            <w:rtl/>
          </w:rPr>
        </w:r>
        <w:r w:rsidR="00FB6796">
          <w:rPr>
            <w:rStyle w:val="Hyperlink"/>
            <w:noProof/>
            <w:rtl/>
          </w:rPr>
          <w:fldChar w:fldCharType="separate"/>
        </w:r>
        <w:r w:rsidR="00FB6796">
          <w:rPr>
            <w:noProof/>
            <w:webHidden/>
            <w:rtl/>
          </w:rPr>
          <w:t>3</w:t>
        </w:r>
        <w:r w:rsidR="00FB6796">
          <w:rPr>
            <w:rStyle w:val="Hyperlink"/>
            <w:noProof/>
            <w:rtl/>
          </w:rPr>
          <w:fldChar w:fldCharType="end"/>
        </w:r>
      </w:hyperlink>
    </w:p>
    <w:p w14:paraId="1C9F2E48" w14:textId="63CC5BEB" w:rsidR="00FB6796" w:rsidRDefault="006F3DFA">
      <w:pPr>
        <w:pStyle w:val="TOC2"/>
        <w:rPr>
          <w:rFonts w:asciiTheme="minorHAnsi" w:eastAsiaTheme="minorEastAsia" w:hAnsiTheme="minorHAnsi" w:cstheme="minorBidi"/>
          <w:noProof/>
          <w:sz w:val="22"/>
          <w:rtl/>
        </w:rPr>
      </w:pPr>
      <w:hyperlink w:anchor="_Toc71112904" w:history="1">
        <w:r w:rsidR="00FB6796" w:rsidRPr="00C91911">
          <w:rPr>
            <w:rStyle w:val="Hyperlink"/>
            <w:noProof/>
            <w:rtl/>
          </w:rPr>
          <w:t>דברי הסבר</w:t>
        </w:r>
        <w:r w:rsidR="00FB6796">
          <w:rPr>
            <w:noProof/>
            <w:webHidden/>
            <w:rtl/>
          </w:rPr>
          <w:tab/>
        </w:r>
        <w:r w:rsidR="00FB6796">
          <w:rPr>
            <w:rStyle w:val="Hyperlink"/>
            <w:noProof/>
            <w:rtl/>
          </w:rPr>
          <w:fldChar w:fldCharType="begin"/>
        </w:r>
        <w:r w:rsidR="00FB6796">
          <w:rPr>
            <w:noProof/>
            <w:webHidden/>
            <w:rtl/>
          </w:rPr>
          <w:instrText xml:space="preserve"> </w:instrText>
        </w:r>
        <w:r w:rsidR="00FB6796">
          <w:rPr>
            <w:noProof/>
            <w:webHidden/>
          </w:rPr>
          <w:instrText>PAGEREF</w:instrText>
        </w:r>
        <w:r w:rsidR="00FB6796">
          <w:rPr>
            <w:noProof/>
            <w:webHidden/>
            <w:rtl/>
          </w:rPr>
          <w:instrText xml:space="preserve"> _</w:instrText>
        </w:r>
        <w:r w:rsidR="00FB6796">
          <w:rPr>
            <w:noProof/>
            <w:webHidden/>
          </w:rPr>
          <w:instrText>Toc71112904 \h</w:instrText>
        </w:r>
        <w:r w:rsidR="00FB6796">
          <w:rPr>
            <w:noProof/>
            <w:webHidden/>
            <w:rtl/>
          </w:rPr>
          <w:instrText xml:space="preserve"> </w:instrText>
        </w:r>
        <w:r w:rsidR="00FB6796">
          <w:rPr>
            <w:rStyle w:val="Hyperlink"/>
            <w:noProof/>
            <w:rtl/>
          </w:rPr>
        </w:r>
        <w:r w:rsidR="00FB6796">
          <w:rPr>
            <w:rStyle w:val="Hyperlink"/>
            <w:noProof/>
            <w:rtl/>
          </w:rPr>
          <w:fldChar w:fldCharType="separate"/>
        </w:r>
        <w:r w:rsidR="00FB6796">
          <w:rPr>
            <w:noProof/>
            <w:webHidden/>
            <w:rtl/>
          </w:rPr>
          <w:t>4</w:t>
        </w:r>
        <w:r w:rsidR="00FB6796">
          <w:rPr>
            <w:rStyle w:val="Hyperlink"/>
            <w:noProof/>
            <w:rtl/>
          </w:rPr>
          <w:fldChar w:fldCharType="end"/>
        </w:r>
      </w:hyperlink>
    </w:p>
    <w:p w14:paraId="4FC649B3" w14:textId="49B51159" w:rsidR="00233C6E" w:rsidRDefault="00233C6E" w:rsidP="00233C6E">
      <w:pPr>
        <w:rPr>
          <w:snapToGrid w:val="0"/>
          <w:rtl/>
        </w:rPr>
      </w:pPr>
      <w:r>
        <w:rPr>
          <w:rtl/>
        </w:rPr>
        <w:fldChar w:fldCharType="end"/>
      </w:r>
      <w:r>
        <w:rPr>
          <w:rtl/>
        </w:rPr>
        <w:br w:type="page"/>
      </w:r>
    </w:p>
    <w:p w14:paraId="3D5FBC6E" w14:textId="5947B6E0" w:rsidR="003A35C0" w:rsidRDefault="003A35C0" w:rsidP="00307E94">
      <w:pPr>
        <w:pStyle w:val="Heading1"/>
        <w:keepNext w:val="0"/>
        <w:keepLines w:val="0"/>
      </w:pPr>
      <w:bookmarkStart w:id="7" w:name="_Toc70527594"/>
      <w:bookmarkStart w:id="8" w:name="_Toc71112894"/>
      <w:r>
        <w:rPr>
          <w:rtl/>
        </w:rPr>
        <w:lastRenderedPageBreak/>
        <w:t>טיוטת כללים</w:t>
      </w:r>
      <w:bookmarkEnd w:id="0"/>
      <w:bookmarkEnd w:id="1"/>
      <w:bookmarkEnd w:id="2"/>
      <w:bookmarkEnd w:id="3"/>
      <w:bookmarkEnd w:id="4"/>
      <w:bookmarkEnd w:id="5"/>
      <w:bookmarkEnd w:id="7"/>
      <w:bookmarkEnd w:id="8"/>
    </w:p>
    <w:p w14:paraId="1CCC9870" w14:textId="77777777" w:rsidR="003A35C0" w:rsidRDefault="003A35C0" w:rsidP="00307E94">
      <w:pPr>
        <w:rPr>
          <w:rtl/>
        </w:rPr>
      </w:pPr>
    </w:p>
    <w:p w14:paraId="7000B74F" w14:textId="77777777" w:rsidR="003A35C0" w:rsidRDefault="003A35C0" w:rsidP="00F24A78">
      <w:pPr>
        <w:pStyle w:val="Heading4"/>
        <w:rPr>
          <w:rtl/>
        </w:rPr>
      </w:pPr>
      <w:bookmarkStart w:id="9" w:name="_Toc61248072"/>
      <w:bookmarkStart w:id="10" w:name="_Toc70352848"/>
      <w:bookmarkStart w:id="11" w:name="_Toc70352890"/>
      <w:bookmarkStart w:id="12" w:name="_Toc71112895"/>
      <w:r>
        <w:rPr>
          <w:rFonts w:hint="cs"/>
          <w:rtl/>
        </w:rPr>
        <w:t>שם הכללים המוצעים</w:t>
      </w:r>
      <w:bookmarkEnd w:id="9"/>
      <w:bookmarkEnd w:id="10"/>
      <w:bookmarkEnd w:id="11"/>
      <w:bookmarkEnd w:id="12"/>
    </w:p>
    <w:p w14:paraId="66853B7F" w14:textId="016527F4" w:rsidR="003A35C0" w:rsidRDefault="009433F4" w:rsidP="00A80F46">
      <w:pPr>
        <w:jc w:val="left"/>
      </w:pPr>
      <w:r>
        <w:rPr>
          <w:rFonts w:hint="cs"/>
          <w:rtl/>
        </w:rPr>
        <w:t xml:space="preserve">כללי </w:t>
      </w:r>
      <w:r w:rsidR="00DA5591">
        <w:rPr>
          <w:rFonts w:hint="cs"/>
          <w:rtl/>
        </w:rPr>
        <w:t>התחרות הכלכלית</w:t>
      </w:r>
      <w:r>
        <w:rPr>
          <w:rFonts w:hint="cs"/>
          <w:rtl/>
        </w:rPr>
        <w:t xml:space="preserve"> (</w:t>
      </w:r>
      <w:r w:rsidR="00A043CC" w:rsidRPr="00A043CC">
        <w:rPr>
          <w:rtl/>
        </w:rPr>
        <w:t>פטור סוג להסדרי</w:t>
      </w:r>
      <w:r w:rsidR="00A043CC">
        <w:rPr>
          <w:rFonts w:hint="cs"/>
          <w:rtl/>
        </w:rPr>
        <w:t xml:space="preserve">ם </w:t>
      </w:r>
      <w:r w:rsidR="00A043CC" w:rsidRPr="00A043CC">
        <w:rPr>
          <w:rtl/>
        </w:rPr>
        <w:t>שאינ</w:t>
      </w:r>
      <w:r w:rsidR="00A043CC">
        <w:rPr>
          <w:rFonts w:hint="cs"/>
          <w:rtl/>
        </w:rPr>
        <w:t>ם או</w:t>
      </w:r>
      <w:r w:rsidR="00A043CC">
        <w:rPr>
          <w:rtl/>
        </w:rPr>
        <w:t>פקי</w:t>
      </w:r>
      <w:r w:rsidR="00775E48">
        <w:rPr>
          <w:rFonts w:hint="cs"/>
          <w:rtl/>
        </w:rPr>
        <w:t>י</w:t>
      </w:r>
      <w:r w:rsidR="00A043CC">
        <w:rPr>
          <w:rFonts w:hint="cs"/>
          <w:rtl/>
        </w:rPr>
        <w:t>ם</w:t>
      </w:r>
      <w:r>
        <w:rPr>
          <w:rFonts w:hint="cs"/>
          <w:rtl/>
        </w:rPr>
        <w:t>)</w:t>
      </w:r>
      <w:r w:rsidR="00556FD8">
        <w:rPr>
          <w:rFonts w:hint="cs"/>
          <w:rtl/>
        </w:rPr>
        <w:t xml:space="preserve"> </w:t>
      </w:r>
      <w:r>
        <w:rPr>
          <w:rFonts w:hint="cs"/>
          <w:rtl/>
        </w:rPr>
        <w:t>(הוראת שעה)</w:t>
      </w:r>
      <w:r w:rsidR="002C287B">
        <w:rPr>
          <w:rFonts w:hint="cs"/>
          <w:rtl/>
        </w:rPr>
        <w:t xml:space="preserve"> (תיקון)</w:t>
      </w:r>
      <w:r>
        <w:rPr>
          <w:rFonts w:hint="cs"/>
          <w:rtl/>
        </w:rPr>
        <w:t>, התשפ"א-2021</w:t>
      </w:r>
    </w:p>
    <w:p w14:paraId="41DA7C1A" w14:textId="037061E3" w:rsidR="003A35C0" w:rsidRDefault="00CD34DB" w:rsidP="00CD34DB">
      <w:pPr>
        <w:pStyle w:val="Heading4"/>
        <w:rPr>
          <w:rtl/>
        </w:rPr>
      </w:pPr>
      <w:bookmarkStart w:id="13" w:name="_Toc70352849"/>
      <w:bookmarkStart w:id="14" w:name="_Toc70352891"/>
      <w:bookmarkStart w:id="15" w:name="_Toc71112896"/>
      <w:r>
        <w:rPr>
          <w:rFonts w:hint="cs"/>
          <w:rtl/>
        </w:rPr>
        <w:t>מטרת הכללים המוצעים והצורך בהם</w:t>
      </w:r>
      <w:bookmarkEnd w:id="13"/>
      <w:bookmarkEnd w:id="14"/>
      <w:bookmarkEnd w:id="15"/>
    </w:p>
    <w:p w14:paraId="704C2E3B" w14:textId="129034F4" w:rsidR="00A043CC" w:rsidRDefault="00544DDA" w:rsidP="00A043CC">
      <w:pPr>
        <w:ind w:left="360"/>
        <w:rPr>
          <w:rFonts w:ascii="Arial" w:hAnsi="Arial"/>
          <w:rtl/>
        </w:rPr>
      </w:pPr>
      <w:r>
        <w:rPr>
          <w:rFonts w:ascii="Arial" w:hAnsi="Arial" w:hint="cs"/>
          <w:rtl/>
        </w:rPr>
        <w:t>מוצע</w:t>
      </w:r>
      <w:r w:rsidR="00A043CC">
        <w:rPr>
          <w:rFonts w:ascii="Arial" w:hAnsi="Arial" w:hint="cs"/>
          <w:rtl/>
        </w:rPr>
        <w:t xml:space="preserve"> לחד</w:t>
      </w:r>
      <w:r w:rsidR="00A043CC" w:rsidRPr="00BB72FF">
        <w:rPr>
          <w:rFonts w:ascii="Arial" w:hAnsi="Arial" w:hint="cs"/>
          <w:rtl/>
        </w:rPr>
        <w:t xml:space="preserve">ש </w:t>
      </w:r>
      <w:r w:rsidR="00A043CC">
        <w:rPr>
          <w:rFonts w:ascii="Arial" w:hAnsi="Arial" w:hint="cs"/>
          <w:rtl/>
        </w:rPr>
        <w:t xml:space="preserve">את </w:t>
      </w:r>
      <w:r w:rsidR="00A043CC" w:rsidRPr="00E439A5">
        <w:rPr>
          <w:rFonts w:ascii="Arial" w:hAnsi="Arial"/>
          <w:rtl/>
        </w:rPr>
        <w:t>כללי ההגבלים העסקיים (פטור סוג להסדרים שאינם אופקיים ואין בהם כבילות מחיר מסוימות)</w:t>
      </w:r>
      <w:r w:rsidR="001D0B0A">
        <w:rPr>
          <w:rFonts w:ascii="Arial" w:hAnsi="Arial" w:hint="cs"/>
          <w:rtl/>
        </w:rPr>
        <w:t xml:space="preserve">, </w:t>
      </w:r>
      <w:r w:rsidR="00A043CC">
        <w:rPr>
          <w:rFonts w:ascii="Arial" w:hAnsi="Arial" w:hint="cs"/>
          <w:rtl/>
        </w:rPr>
        <w:t>תשע"ג-2013</w:t>
      </w:r>
      <w:r w:rsidR="00A043CC" w:rsidRPr="00E439A5">
        <w:rPr>
          <w:rFonts w:ascii="Arial" w:hAnsi="Arial"/>
          <w:rtl/>
        </w:rPr>
        <w:t xml:space="preserve"> </w:t>
      </w:r>
      <w:r w:rsidR="00A043CC">
        <w:rPr>
          <w:rFonts w:ascii="Arial" w:hAnsi="Arial" w:hint="cs"/>
          <w:rtl/>
        </w:rPr>
        <w:t>כך שיוארך</w:t>
      </w:r>
      <w:r w:rsidR="00A043CC" w:rsidRPr="00BB72FF">
        <w:rPr>
          <w:rFonts w:ascii="Arial" w:hAnsi="Arial" w:hint="cs"/>
          <w:rtl/>
        </w:rPr>
        <w:t xml:space="preserve"> תוקפם ב-5 שנים נוספות וכן</w:t>
      </w:r>
      <w:r w:rsidR="00A043CC">
        <w:rPr>
          <w:rFonts w:ascii="Arial" w:hAnsi="Arial" w:hint="cs"/>
          <w:rtl/>
        </w:rPr>
        <w:t xml:space="preserve"> לערוך</w:t>
      </w:r>
      <w:r w:rsidR="00A043CC" w:rsidRPr="00BB72FF">
        <w:rPr>
          <w:rFonts w:ascii="Arial" w:hAnsi="Arial" w:hint="cs"/>
          <w:rtl/>
        </w:rPr>
        <w:t xml:space="preserve"> </w:t>
      </w:r>
      <w:r w:rsidR="00A043CC">
        <w:rPr>
          <w:rFonts w:ascii="Arial" w:hAnsi="Arial" w:hint="cs"/>
          <w:rtl/>
        </w:rPr>
        <w:t>בהם מספר</w:t>
      </w:r>
      <w:r w:rsidR="00A043CC" w:rsidRPr="00BB72FF">
        <w:rPr>
          <w:rFonts w:ascii="Arial" w:hAnsi="Arial" w:hint="cs"/>
          <w:rtl/>
        </w:rPr>
        <w:t xml:space="preserve"> תיקונים</w:t>
      </w:r>
      <w:r w:rsidR="00A043CC">
        <w:rPr>
          <w:rFonts w:ascii="Arial" w:hAnsi="Arial" w:hint="cs"/>
          <w:rtl/>
        </w:rPr>
        <w:t xml:space="preserve"> נחוצים.</w:t>
      </w:r>
    </w:p>
    <w:p w14:paraId="67D06170" w14:textId="20E60811" w:rsidR="00CD34DB" w:rsidRDefault="00A043CC" w:rsidP="00CD34DB">
      <w:pPr>
        <w:rPr>
          <w:rtl/>
        </w:rPr>
      </w:pPr>
      <w:r>
        <w:rPr>
          <w:rFonts w:ascii="Arial" w:hAnsi="Arial" w:hint="cs"/>
          <w:rtl/>
        </w:rPr>
        <w:t>במסגרת התיקונים מ</w:t>
      </w:r>
      <w:r w:rsidR="00CD34DB" w:rsidRPr="009A2549">
        <w:rPr>
          <w:rtl/>
        </w:rPr>
        <w:t>וצע להתאים את נוסח הוראות פטור הסוג לתיקון מס' 21 לחוק במסגרתו שונה, בין היתר, שם החוק ל</w:t>
      </w:r>
      <w:r w:rsidR="00544DDA">
        <w:rPr>
          <w:rFonts w:hint="cs"/>
          <w:rtl/>
        </w:rPr>
        <w:t>"</w:t>
      </w:r>
      <w:r w:rsidR="00CD34DB" w:rsidRPr="009A2549">
        <w:rPr>
          <w:rtl/>
        </w:rPr>
        <w:t>חוק התחרות הכלכלית</w:t>
      </w:r>
      <w:r w:rsidR="00544DDA">
        <w:rPr>
          <w:rFonts w:hint="cs"/>
          <w:rtl/>
        </w:rPr>
        <w:t>"</w:t>
      </w:r>
      <w:r w:rsidR="00CD34DB">
        <w:rPr>
          <w:rFonts w:hint="cs"/>
          <w:rtl/>
        </w:rPr>
        <w:t>, ושם בית הדין ל</w:t>
      </w:r>
      <w:r w:rsidR="00544DDA">
        <w:rPr>
          <w:rFonts w:hint="cs"/>
          <w:rtl/>
        </w:rPr>
        <w:t>"</w:t>
      </w:r>
      <w:r w:rsidR="00CD34DB">
        <w:rPr>
          <w:rFonts w:hint="cs"/>
          <w:rtl/>
        </w:rPr>
        <w:t>בית הדין לתחרות</w:t>
      </w:r>
      <w:r w:rsidR="00544DDA">
        <w:rPr>
          <w:rFonts w:hint="cs"/>
          <w:rtl/>
        </w:rPr>
        <w:t>"</w:t>
      </w:r>
      <w:r w:rsidR="00CD34DB">
        <w:rPr>
          <w:rFonts w:hint="cs"/>
          <w:rtl/>
        </w:rPr>
        <w:t>.</w:t>
      </w:r>
      <w:r>
        <w:rPr>
          <w:rFonts w:hint="cs"/>
          <w:rtl/>
        </w:rPr>
        <w:t xml:space="preserve"> כמו כן, מוצע להסיר מן הפטור את ההחרגה שנוגעת לכבילות מחיר.</w:t>
      </w:r>
    </w:p>
    <w:p w14:paraId="0967EF79" w14:textId="06E23A6A" w:rsidR="00CD34DB" w:rsidRPr="00CD34DB" w:rsidRDefault="00CD34DB" w:rsidP="00CD34DB">
      <w:pPr>
        <w:rPr>
          <w:rtl/>
        </w:rPr>
      </w:pPr>
      <w:r w:rsidRPr="00CD34DB">
        <w:rPr>
          <w:rtl/>
        </w:rPr>
        <w:t xml:space="preserve">  </w:t>
      </w:r>
    </w:p>
    <w:p w14:paraId="75D7D326" w14:textId="77777777" w:rsidR="003A35C0" w:rsidRDefault="003A35C0" w:rsidP="00F24A78">
      <w:pPr>
        <w:pStyle w:val="Heading4"/>
        <w:rPr>
          <w:rtl/>
        </w:rPr>
      </w:pPr>
      <w:bookmarkStart w:id="16" w:name="_Toc61248074"/>
      <w:bookmarkStart w:id="17" w:name="_Toc70352850"/>
      <w:bookmarkStart w:id="18" w:name="_Toc70352892"/>
      <w:bookmarkStart w:id="19" w:name="_Toc71112897"/>
      <w:r>
        <w:rPr>
          <w:rFonts w:hint="cs"/>
          <w:rtl/>
        </w:rPr>
        <w:t>להלן נוסח טיוטת הכללים המוצעים:</w:t>
      </w:r>
      <w:bookmarkEnd w:id="16"/>
      <w:bookmarkEnd w:id="17"/>
      <w:bookmarkEnd w:id="18"/>
      <w:bookmarkEnd w:id="19"/>
      <w:r>
        <w:rPr>
          <w:rFonts w:hint="cs"/>
          <w:rtl/>
        </w:rPr>
        <w:t xml:space="preserve"> </w:t>
      </w:r>
    </w:p>
    <w:p w14:paraId="29271207" w14:textId="77777777" w:rsidR="00544DDA" w:rsidRDefault="00544DDA">
      <w:pPr>
        <w:widowControl/>
        <w:bidi w:val="0"/>
        <w:spacing w:after="160" w:line="259" w:lineRule="auto"/>
        <w:ind w:left="0"/>
        <w:contextualSpacing w:val="0"/>
        <w:jc w:val="left"/>
        <w:rPr>
          <w:rFonts w:ascii="Arial" w:eastAsia="Arial Unicode MS" w:hAnsi="Arial"/>
          <w:b/>
          <w:bCs/>
          <w:snapToGrid w:val="0"/>
          <w:sz w:val="20"/>
          <w:szCs w:val="26"/>
        </w:rPr>
      </w:pPr>
      <w:bookmarkStart w:id="20" w:name="_Toc61248053"/>
      <w:bookmarkStart w:id="21" w:name="_Toc61248075"/>
      <w:bookmarkStart w:id="22" w:name="_Toc70352829"/>
      <w:bookmarkStart w:id="23" w:name="_Toc70352851"/>
      <w:bookmarkStart w:id="24" w:name="_Toc70352871"/>
      <w:bookmarkStart w:id="25" w:name="_Toc70352893"/>
      <w:r>
        <w:rPr>
          <w:rtl/>
        </w:rPr>
        <w:br w:type="page"/>
      </w:r>
    </w:p>
    <w:p w14:paraId="00B07CCA" w14:textId="494CFA31" w:rsidR="003A35C0" w:rsidRPr="0091736A" w:rsidRDefault="003A35C0" w:rsidP="002E331F">
      <w:pPr>
        <w:pStyle w:val="HeadHatzaotHok"/>
        <w:keepNext w:val="0"/>
        <w:keepLines w:val="0"/>
        <w:rPr>
          <w:color w:val="171717" w:themeColor="background2" w:themeShade="1A"/>
          <w:rtl/>
        </w:rPr>
      </w:pPr>
      <w:bookmarkStart w:id="26" w:name="_Toc70527595"/>
      <w:bookmarkStart w:id="27" w:name="_Toc71112898"/>
      <w:r>
        <w:rPr>
          <w:rtl/>
        </w:rPr>
        <w:lastRenderedPageBreak/>
        <w:t xml:space="preserve">טיוטת </w:t>
      </w:r>
      <w:r w:rsidRPr="00CC4B65">
        <w:rPr>
          <w:rtl/>
        </w:rPr>
        <w:t xml:space="preserve">כללי </w:t>
      </w:r>
      <w:r w:rsidR="001B3826">
        <w:rPr>
          <w:rFonts w:hint="cs"/>
          <w:rtl/>
        </w:rPr>
        <w:t>ההגבלים העסקיים</w:t>
      </w:r>
      <w:r w:rsidR="00286F55">
        <w:rPr>
          <w:rFonts w:hint="cs"/>
          <w:rtl/>
        </w:rPr>
        <w:t xml:space="preserve"> (</w:t>
      </w:r>
      <w:r w:rsidR="002E331F" w:rsidRPr="00A043CC">
        <w:rPr>
          <w:rtl/>
        </w:rPr>
        <w:t>פטור סוג להסדרי</w:t>
      </w:r>
      <w:r w:rsidR="002E331F">
        <w:rPr>
          <w:rFonts w:hint="cs"/>
          <w:rtl/>
        </w:rPr>
        <w:t xml:space="preserve">ם </w:t>
      </w:r>
      <w:r w:rsidR="002E331F" w:rsidRPr="00A043CC">
        <w:rPr>
          <w:rtl/>
        </w:rPr>
        <w:t>שאינ</w:t>
      </w:r>
      <w:r w:rsidR="002E331F">
        <w:rPr>
          <w:rFonts w:hint="cs"/>
          <w:rtl/>
        </w:rPr>
        <w:t xml:space="preserve">ם </w:t>
      </w:r>
      <w:r w:rsidR="002E331F" w:rsidRPr="0091736A">
        <w:rPr>
          <w:rFonts w:hint="cs"/>
          <w:color w:val="171717" w:themeColor="background2" w:themeShade="1A"/>
          <w:rtl/>
        </w:rPr>
        <w:t>או</w:t>
      </w:r>
      <w:r w:rsidR="002E331F" w:rsidRPr="0091736A">
        <w:rPr>
          <w:color w:val="171717" w:themeColor="background2" w:themeShade="1A"/>
          <w:rtl/>
        </w:rPr>
        <w:t>פקי</w:t>
      </w:r>
      <w:r w:rsidR="00172291" w:rsidRPr="0091736A">
        <w:rPr>
          <w:rFonts w:hint="cs"/>
          <w:color w:val="171717" w:themeColor="background2" w:themeShade="1A"/>
          <w:rtl/>
        </w:rPr>
        <w:t>י</w:t>
      </w:r>
      <w:r w:rsidR="002E331F" w:rsidRPr="0091736A">
        <w:rPr>
          <w:rFonts w:hint="cs"/>
          <w:color w:val="171717" w:themeColor="background2" w:themeShade="1A"/>
          <w:rtl/>
        </w:rPr>
        <w:t>ם</w:t>
      </w:r>
      <w:r w:rsidR="00172291" w:rsidRPr="0091736A">
        <w:rPr>
          <w:rFonts w:hint="cs"/>
          <w:color w:val="171717" w:themeColor="background2" w:themeShade="1A"/>
          <w:rtl/>
        </w:rPr>
        <w:t xml:space="preserve"> ואין בהם </w:t>
      </w:r>
      <w:r w:rsidR="002E331F" w:rsidRPr="0091736A">
        <w:rPr>
          <w:color w:val="171717" w:themeColor="background2" w:themeShade="1A"/>
        </w:rPr>
        <w:t xml:space="preserve"> </w:t>
      </w:r>
      <w:r w:rsidR="002E331F" w:rsidRPr="0091736A">
        <w:rPr>
          <w:color w:val="171717" w:themeColor="background2" w:themeShade="1A"/>
          <w:rtl/>
        </w:rPr>
        <w:t>כבילות מחיר מסוימות</w:t>
      </w:r>
      <w:r w:rsidR="00286F55" w:rsidRPr="0091736A">
        <w:rPr>
          <w:rFonts w:hint="cs"/>
          <w:color w:val="171717" w:themeColor="background2" w:themeShade="1A"/>
          <w:rtl/>
        </w:rPr>
        <w:t xml:space="preserve">) (הוראת שעה) </w:t>
      </w:r>
      <w:r w:rsidR="005229C6" w:rsidRPr="0091736A">
        <w:rPr>
          <w:color w:val="171717" w:themeColor="background2" w:themeShade="1A"/>
          <w:rtl/>
        </w:rPr>
        <w:t>(תיקון</w:t>
      </w:r>
      <w:r w:rsidRPr="0091736A">
        <w:rPr>
          <w:color w:val="171717" w:themeColor="background2" w:themeShade="1A"/>
          <w:rtl/>
        </w:rPr>
        <w:t>)</w:t>
      </w:r>
      <w:r w:rsidR="00286F55" w:rsidRPr="0091736A">
        <w:rPr>
          <w:rFonts w:hint="cs"/>
          <w:color w:val="171717" w:themeColor="background2" w:themeShade="1A"/>
          <w:rtl/>
        </w:rPr>
        <w:t>, התשפ"א-2021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tbl>
      <w:tblPr>
        <w:bidiVisual/>
        <w:tblW w:w="9641" w:type="dxa"/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1871"/>
        <w:gridCol w:w="624"/>
        <w:gridCol w:w="7146"/>
      </w:tblGrid>
      <w:tr w:rsidR="0091736A" w:rsidRPr="0091736A" w14:paraId="53276650" w14:textId="77777777" w:rsidTr="00B80E80">
        <w:trPr>
          <w:cantSplit/>
          <w:trHeight w:val="60"/>
        </w:trPr>
        <w:tc>
          <w:tcPr>
            <w:tcW w:w="1871" w:type="dxa"/>
          </w:tcPr>
          <w:p w14:paraId="0DB00144" w14:textId="77777777" w:rsidR="003A35C0" w:rsidRPr="0091736A" w:rsidRDefault="003A35C0">
            <w:pPr>
              <w:pStyle w:val="TableSideHeading"/>
              <w:rPr>
                <w:color w:val="171717" w:themeColor="background2" w:themeShade="1A"/>
                <w:rtl/>
              </w:rPr>
            </w:pPr>
          </w:p>
        </w:tc>
        <w:tc>
          <w:tcPr>
            <w:tcW w:w="624" w:type="dxa"/>
          </w:tcPr>
          <w:p w14:paraId="342D43CE" w14:textId="77777777" w:rsidR="003A35C0" w:rsidRPr="0091736A" w:rsidRDefault="003A35C0">
            <w:pPr>
              <w:pStyle w:val="TableText"/>
              <w:rPr>
                <w:color w:val="171717" w:themeColor="background2" w:themeShade="1A"/>
              </w:rPr>
            </w:pPr>
          </w:p>
        </w:tc>
        <w:tc>
          <w:tcPr>
            <w:tcW w:w="7146" w:type="dxa"/>
            <w:hideMark/>
          </w:tcPr>
          <w:p w14:paraId="478EFA5C" w14:textId="77777777" w:rsidR="003A35C0" w:rsidRPr="0091736A" w:rsidRDefault="003A35C0" w:rsidP="00CC4B65">
            <w:pPr>
              <w:pStyle w:val="TableBlock"/>
              <w:rPr>
                <w:color w:val="171717" w:themeColor="background2" w:themeShade="1A"/>
              </w:rPr>
            </w:pPr>
            <w:r w:rsidRPr="0091736A">
              <w:rPr>
                <w:color w:val="171717" w:themeColor="background2" w:themeShade="1A"/>
                <w:rtl/>
              </w:rPr>
              <w:t>בתוקף סמכותי לפי סעיף</w:t>
            </w:r>
            <w:r w:rsidR="00286F55" w:rsidRPr="0091736A">
              <w:rPr>
                <w:rFonts w:hint="cs"/>
                <w:color w:val="171717" w:themeColor="background2" w:themeShade="1A"/>
                <w:rtl/>
              </w:rPr>
              <w:t xml:space="preserve"> 15א לחוק </w:t>
            </w:r>
            <w:r w:rsidR="00CC4B65" w:rsidRPr="0091736A">
              <w:rPr>
                <w:rFonts w:hint="cs"/>
                <w:color w:val="171717" w:themeColor="background2" w:themeShade="1A"/>
                <w:rtl/>
              </w:rPr>
              <w:t>התחרות הכלכלית</w:t>
            </w:r>
            <w:r w:rsidR="00286F55" w:rsidRPr="0091736A">
              <w:rPr>
                <w:rFonts w:hint="cs"/>
                <w:color w:val="171717" w:themeColor="background2" w:themeShade="1A"/>
                <w:rtl/>
              </w:rPr>
              <w:t>, התשמ"ח-1988</w:t>
            </w:r>
            <w:r w:rsidR="0034368F" w:rsidRPr="0091736A">
              <w:rPr>
                <w:rStyle w:val="FootnoteReference"/>
                <w:color w:val="171717" w:themeColor="background2" w:themeShade="1A"/>
                <w:rtl/>
              </w:rPr>
              <w:footnoteReference w:id="1"/>
            </w:r>
            <w:r w:rsidR="0034368F" w:rsidRPr="0091736A">
              <w:rPr>
                <w:rFonts w:hint="cs"/>
                <w:color w:val="171717" w:themeColor="background2" w:themeShade="1A"/>
                <w:rtl/>
              </w:rPr>
              <w:t>, ובאישור הוועדה לפטורים ולמיזוגים, אני מתקינה כללי פטור סוג אלה</w:t>
            </w:r>
            <w:r w:rsidRPr="0091736A">
              <w:rPr>
                <w:color w:val="171717" w:themeColor="background2" w:themeShade="1A"/>
                <w:rtl/>
              </w:rPr>
              <w:t>:</w:t>
            </w:r>
          </w:p>
        </w:tc>
      </w:tr>
      <w:tr w:rsidR="0091736A" w:rsidRPr="0091736A" w14:paraId="099B012F" w14:textId="77777777" w:rsidTr="00B80E80">
        <w:trPr>
          <w:cantSplit/>
          <w:trHeight w:val="60"/>
        </w:trPr>
        <w:tc>
          <w:tcPr>
            <w:tcW w:w="1871" w:type="dxa"/>
          </w:tcPr>
          <w:p w14:paraId="298CE6C7" w14:textId="77777777" w:rsidR="003A35C0" w:rsidRPr="0091736A" w:rsidRDefault="003A35C0">
            <w:pPr>
              <w:pStyle w:val="TableSideHeading"/>
              <w:rPr>
                <w:color w:val="171717" w:themeColor="background2" w:themeShade="1A"/>
              </w:rPr>
            </w:pPr>
          </w:p>
        </w:tc>
        <w:tc>
          <w:tcPr>
            <w:tcW w:w="624" w:type="dxa"/>
          </w:tcPr>
          <w:p w14:paraId="1D7E205C" w14:textId="77777777" w:rsidR="003A35C0" w:rsidRPr="0091736A" w:rsidRDefault="003A35C0">
            <w:pPr>
              <w:pStyle w:val="TableText"/>
              <w:rPr>
                <w:color w:val="171717" w:themeColor="background2" w:themeShade="1A"/>
              </w:rPr>
            </w:pPr>
          </w:p>
        </w:tc>
        <w:tc>
          <w:tcPr>
            <w:tcW w:w="7146" w:type="dxa"/>
          </w:tcPr>
          <w:p w14:paraId="0AAC2884" w14:textId="77777777" w:rsidR="003A35C0" w:rsidRPr="0091736A" w:rsidRDefault="003A35C0">
            <w:pPr>
              <w:pStyle w:val="TableHead"/>
              <w:rPr>
                <w:color w:val="171717" w:themeColor="background2" w:themeShade="1A"/>
              </w:rPr>
            </w:pPr>
          </w:p>
        </w:tc>
      </w:tr>
      <w:tr w:rsidR="0091736A" w:rsidRPr="0091736A" w14:paraId="042A2070" w14:textId="77777777" w:rsidTr="00E65A60">
        <w:trPr>
          <w:cantSplit/>
          <w:trHeight w:val="60"/>
        </w:trPr>
        <w:tc>
          <w:tcPr>
            <w:tcW w:w="1871" w:type="dxa"/>
          </w:tcPr>
          <w:p w14:paraId="1A892884" w14:textId="5D840029" w:rsidR="003A35C0" w:rsidRPr="0091736A" w:rsidRDefault="0034368F">
            <w:pPr>
              <w:pStyle w:val="TableSideHeading"/>
              <w:rPr>
                <w:color w:val="171717" w:themeColor="background2" w:themeShade="1A"/>
              </w:rPr>
            </w:pPr>
            <w:bookmarkStart w:id="28" w:name="_Toc61248054"/>
            <w:bookmarkStart w:id="29" w:name="_Toc61248076"/>
            <w:bookmarkStart w:id="30" w:name="_Toc70352830"/>
            <w:bookmarkStart w:id="31" w:name="_Toc70352852"/>
            <w:bookmarkStart w:id="32" w:name="_Toc70352872"/>
            <w:bookmarkStart w:id="33" w:name="_Toc70352894"/>
            <w:bookmarkStart w:id="34" w:name="_Toc70527596"/>
            <w:bookmarkStart w:id="35" w:name="_Toc71112899"/>
            <w:r w:rsidRPr="0091736A">
              <w:rPr>
                <w:rFonts w:hint="cs"/>
                <w:color w:val="171717" w:themeColor="background2" w:themeShade="1A"/>
                <w:rtl/>
              </w:rPr>
              <w:t>תיקון השם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</w:p>
        </w:tc>
        <w:tc>
          <w:tcPr>
            <w:tcW w:w="624" w:type="dxa"/>
          </w:tcPr>
          <w:p w14:paraId="1AE40B86" w14:textId="77777777" w:rsidR="003A35C0" w:rsidRPr="0091736A" w:rsidRDefault="003A35C0" w:rsidP="003A35C0">
            <w:pPr>
              <w:pStyle w:val="TableText"/>
              <w:numPr>
                <w:ilvl w:val="0"/>
                <w:numId w:val="2"/>
              </w:numPr>
              <w:rPr>
                <w:color w:val="171717" w:themeColor="background2" w:themeShade="1A"/>
              </w:rPr>
            </w:pPr>
          </w:p>
        </w:tc>
        <w:tc>
          <w:tcPr>
            <w:tcW w:w="7146" w:type="dxa"/>
          </w:tcPr>
          <w:p w14:paraId="399AD6AB" w14:textId="43238872" w:rsidR="003A35C0" w:rsidRPr="0091736A" w:rsidRDefault="0034368F" w:rsidP="00354B0D">
            <w:pPr>
              <w:pStyle w:val="TableBlock"/>
              <w:rPr>
                <w:color w:val="171717" w:themeColor="background2" w:themeShade="1A"/>
              </w:rPr>
            </w:pPr>
            <w:r w:rsidRPr="0091736A">
              <w:rPr>
                <w:rFonts w:hint="cs"/>
                <w:color w:val="171717" w:themeColor="background2" w:themeShade="1A"/>
                <w:rtl/>
              </w:rPr>
              <w:t>בכללי ההגבלים העסקיים (</w:t>
            </w:r>
            <w:r w:rsidR="002E331F" w:rsidRPr="0091736A">
              <w:rPr>
                <w:color w:val="171717" w:themeColor="background2" w:themeShade="1A"/>
                <w:rtl/>
              </w:rPr>
              <w:t>פטור סוג להסדרי</w:t>
            </w:r>
            <w:r w:rsidR="002E331F" w:rsidRPr="0091736A">
              <w:rPr>
                <w:rFonts w:hint="cs"/>
                <w:color w:val="171717" w:themeColor="background2" w:themeShade="1A"/>
                <w:rtl/>
              </w:rPr>
              <w:t xml:space="preserve">ם </w:t>
            </w:r>
            <w:r w:rsidR="002E331F" w:rsidRPr="0091736A">
              <w:rPr>
                <w:color w:val="171717" w:themeColor="background2" w:themeShade="1A"/>
                <w:rtl/>
              </w:rPr>
              <w:t>שאינ</w:t>
            </w:r>
            <w:r w:rsidR="002E331F" w:rsidRPr="0091736A">
              <w:rPr>
                <w:rFonts w:hint="cs"/>
                <w:color w:val="171717" w:themeColor="background2" w:themeShade="1A"/>
                <w:rtl/>
              </w:rPr>
              <w:t>ם או</w:t>
            </w:r>
            <w:r w:rsidR="002E331F" w:rsidRPr="0091736A">
              <w:rPr>
                <w:color w:val="171717" w:themeColor="background2" w:themeShade="1A"/>
                <w:rtl/>
              </w:rPr>
              <w:t>פקי</w:t>
            </w:r>
            <w:r w:rsidR="00172291" w:rsidRPr="0091736A">
              <w:rPr>
                <w:rFonts w:hint="cs"/>
                <w:color w:val="171717" w:themeColor="background2" w:themeShade="1A"/>
                <w:rtl/>
              </w:rPr>
              <w:t>י</w:t>
            </w:r>
            <w:r w:rsidR="002E331F" w:rsidRPr="0091736A">
              <w:rPr>
                <w:rFonts w:hint="cs"/>
                <w:color w:val="171717" w:themeColor="background2" w:themeShade="1A"/>
                <w:rtl/>
              </w:rPr>
              <w:t>ם</w:t>
            </w:r>
            <w:r w:rsidR="002E331F" w:rsidRPr="0091736A">
              <w:rPr>
                <w:color w:val="171717" w:themeColor="background2" w:themeShade="1A"/>
              </w:rPr>
              <w:t xml:space="preserve"> </w:t>
            </w:r>
            <w:r w:rsidR="00172291" w:rsidRPr="0091736A">
              <w:rPr>
                <w:rFonts w:hint="cs"/>
                <w:color w:val="171717" w:themeColor="background2" w:themeShade="1A"/>
                <w:rtl/>
              </w:rPr>
              <w:t xml:space="preserve">ואין בהם </w:t>
            </w:r>
            <w:r w:rsidR="002E331F" w:rsidRPr="0091736A">
              <w:rPr>
                <w:color w:val="171717" w:themeColor="background2" w:themeShade="1A"/>
                <w:rtl/>
              </w:rPr>
              <w:t>כבילות מחיר מסוימות</w:t>
            </w:r>
            <w:r w:rsidR="00233C6E">
              <w:rPr>
                <w:rFonts w:hint="cs"/>
                <w:color w:val="171717" w:themeColor="background2" w:themeShade="1A"/>
                <w:rtl/>
              </w:rPr>
              <w:t xml:space="preserve">) (הוראת שעה), </w:t>
            </w:r>
            <w:r w:rsidR="002E331F" w:rsidRPr="0091736A">
              <w:rPr>
                <w:rFonts w:hint="cs"/>
                <w:color w:val="171717" w:themeColor="background2" w:themeShade="1A"/>
                <w:rtl/>
              </w:rPr>
              <w:t>תשע"ג</w:t>
            </w:r>
            <w:r w:rsidR="00354B0D">
              <w:rPr>
                <w:rFonts w:hint="cs"/>
                <w:color w:val="171717" w:themeColor="background2" w:themeShade="1A"/>
                <w:rtl/>
              </w:rPr>
              <w:t>-2013</w:t>
            </w:r>
            <w:r w:rsidR="00354B0D">
              <w:rPr>
                <w:rStyle w:val="FootnoteReference"/>
                <w:color w:val="171717" w:themeColor="background2" w:themeShade="1A"/>
                <w:rtl/>
              </w:rPr>
              <w:footnoteReference w:id="2"/>
            </w:r>
            <w:r w:rsidR="002E331F" w:rsidRPr="0091736A">
              <w:rPr>
                <w:rFonts w:hint="cs"/>
                <w:color w:val="171717" w:themeColor="background2" w:themeShade="1A"/>
                <w:rtl/>
              </w:rPr>
              <w:t xml:space="preserve"> </w:t>
            </w:r>
            <w:r w:rsidRPr="0091736A">
              <w:rPr>
                <w:rFonts w:hint="cs"/>
                <w:color w:val="171717" w:themeColor="background2" w:themeShade="1A"/>
                <w:rtl/>
              </w:rPr>
              <w:t xml:space="preserve">(להלן </w:t>
            </w:r>
            <w:r w:rsidRPr="0091736A">
              <w:rPr>
                <w:color w:val="171717" w:themeColor="background2" w:themeShade="1A"/>
                <w:rtl/>
              </w:rPr>
              <w:t>–</w:t>
            </w:r>
            <w:r w:rsidRPr="0091736A">
              <w:rPr>
                <w:rFonts w:hint="cs"/>
                <w:color w:val="171717" w:themeColor="background2" w:themeShade="1A"/>
                <w:rtl/>
              </w:rPr>
              <w:t xml:space="preserve"> הכללים העיקריים) </w:t>
            </w:r>
            <w:r w:rsidR="006B1CDF" w:rsidRPr="0091736A">
              <w:rPr>
                <w:rFonts w:hint="cs"/>
                <w:color w:val="171717" w:themeColor="background2" w:themeShade="1A"/>
                <w:rtl/>
              </w:rPr>
              <w:t>במקום שם הכללים העיקריים יבוא: "כללי התחרות הכלכלית (</w:t>
            </w:r>
            <w:r w:rsidR="002E331F" w:rsidRPr="0091736A">
              <w:rPr>
                <w:color w:val="171717" w:themeColor="background2" w:themeShade="1A"/>
                <w:rtl/>
              </w:rPr>
              <w:t>פטור סוג להסדרי</w:t>
            </w:r>
            <w:r w:rsidR="002E331F" w:rsidRPr="0091736A">
              <w:rPr>
                <w:rFonts w:hint="cs"/>
                <w:color w:val="171717" w:themeColor="background2" w:themeShade="1A"/>
                <w:rtl/>
              </w:rPr>
              <w:t xml:space="preserve">ם </w:t>
            </w:r>
            <w:r w:rsidR="002E331F" w:rsidRPr="0091736A">
              <w:rPr>
                <w:color w:val="171717" w:themeColor="background2" w:themeShade="1A"/>
                <w:rtl/>
              </w:rPr>
              <w:t>שאינ</w:t>
            </w:r>
            <w:r w:rsidR="002E331F" w:rsidRPr="0091736A">
              <w:rPr>
                <w:rFonts w:hint="cs"/>
                <w:color w:val="171717" w:themeColor="background2" w:themeShade="1A"/>
                <w:rtl/>
              </w:rPr>
              <w:t>ם או</w:t>
            </w:r>
            <w:r w:rsidR="002E331F" w:rsidRPr="0091736A">
              <w:rPr>
                <w:color w:val="171717" w:themeColor="background2" w:themeShade="1A"/>
                <w:rtl/>
              </w:rPr>
              <w:t>פקי</w:t>
            </w:r>
            <w:r w:rsidR="00172291" w:rsidRPr="0091736A">
              <w:rPr>
                <w:rFonts w:hint="cs"/>
                <w:color w:val="171717" w:themeColor="background2" w:themeShade="1A"/>
                <w:rtl/>
              </w:rPr>
              <w:t>י</w:t>
            </w:r>
            <w:r w:rsidR="002E331F" w:rsidRPr="0091736A">
              <w:rPr>
                <w:rFonts w:hint="cs"/>
                <w:color w:val="171717" w:themeColor="background2" w:themeShade="1A"/>
                <w:rtl/>
              </w:rPr>
              <w:t>ם</w:t>
            </w:r>
            <w:r w:rsidR="006B1CDF" w:rsidRPr="0091736A">
              <w:rPr>
                <w:rFonts w:hint="cs"/>
                <w:color w:val="171717" w:themeColor="background2" w:themeShade="1A"/>
                <w:rtl/>
              </w:rPr>
              <w:t xml:space="preserve">) (הוראת שעה), </w:t>
            </w:r>
            <w:r w:rsidR="002E331F" w:rsidRPr="0091736A">
              <w:rPr>
                <w:rFonts w:hint="cs"/>
                <w:color w:val="171717" w:themeColor="background2" w:themeShade="1A"/>
                <w:rtl/>
              </w:rPr>
              <w:t>תשע"ג-2013</w:t>
            </w:r>
            <w:r w:rsidR="006B1CDF" w:rsidRPr="0091736A">
              <w:rPr>
                <w:rFonts w:hint="cs"/>
                <w:color w:val="171717" w:themeColor="background2" w:themeShade="1A"/>
                <w:rtl/>
              </w:rPr>
              <w:t xml:space="preserve">". </w:t>
            </w:r>
          </w:p>
        </w:tc>
      </w:tr>
      <w:tr w:rsidR="006B1CDF" w14:paraId="6BC7CEAB" w14:textId="77777777" w:rsidTr="00B80E80">
        <w:trPr>
          <w:cantSplit/>
          <w:trHeight w:val="60"/>
        </w:trPr>
        <w:tc>
          <w:tcPr>
            <w:tcW w:w="1871" w:type="dxa"/>
          </w:tcPr>
          <w:p w14:paraId="5F2B12A5" w14:textId="726AAD61" w:rsidR="006B1CDF" w:rsidRDefault="006B1CDF" w:rsidP="007E751D">
            <w:pPr>
              <w:pStyle w:val="TableSideHeading"/>
              <w:keepLines w:val="0"/>
            </w:pPr>
            <w:bookmarkStart w:id="36" w:name="_Toc61248055"/>
            <w:bookmarkStart w:id="37" w:name="_Toc61248077"/>
            <w:bookmarkStart w:id="38" w:name="_Toc70352831"/>
            <w:bookmarkStart w:id="39" w:name="_Toc70352853"/>
            <w:bookmarkStart w:id="40" w:name="_Toc70352873"/>
            <w:bookmarkStart w:id="41" w:name="_Toc70352895"/>
            <w:bookmarkStart w:id="42" w:name="_Toc70527597"/>
            <w:bookmarkStart w:id="43" w:name="_Toc71112900"/>
            <w:r>
              <w:rPr>
                <w:rFonts w:hint="cs"/>
                <w:rtl/>
              </w:rPr>
              <w:t>תיקון הפתיח</w:t>
            </w:r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</w:p>
        </w:tc>
        <w:tc>
          <w:tcPr>
            <w:tcW w:w="624" w:type="dxa"/>
          </w:tcPr>
          <w:p w14:paraId="1277395B" w14:textId="77777777" w:rsidR="006B1CDF" w:rsidRDefault="006B1CDF" w:rsidP="006B1CDF">
            <w:pPr>
              <w:pStyle w:val="TableText"/>
              <w:keepLines w:val="0"/>
              <w:numPr>
                <w:ilvl w:val="0"/>
                <w:numId w:val="4"/>
              </w:numPr>
            </w:pPr>
          </w:p>
        </w:tc>
        <w:tc>
          <w:tcPr>
            <w:tcW w:w="7146" w:type="dxa"/>
          </w:tcPr>
          <w:p w14:paraId="02E023BD" w14:textId="77777777" w:rsidR="006B1CDF" w:rsidRPr="00C34DE2" w:rsidRDefault="006B1CDF" w:rsidP="007E751D">
            <w:pPr>
              <w:pStyle w:val="TableBlock"/>
              <w:keepLines w:val="0"/>
            </w:pPr>
            <w:r>
              <w:rPr>
                <w:rFonts w:hint="cs"/>
                <w:rtl/>
              </w:rPr>
              <w:t>בכללים העיקריים, ברישה במקום "ההגבלים העסקיים" יבוא "התחרות הכלכלית".</w:t>
            </w:r>
          </w:p>
        </w:tc>
      </w:tr>
      <w:tr w:rsidR="00782BDE" w:rsidRPr="00E65A60" w14:paraId="1A55BAC0" w14:textId="77777777" w:rsidTr="00E65A60">
        <w:trPr>
          <w:cantSplit/>
          <w:trHeight w:val="60"/>
        </w:trPr>
        <w:tc>
          <w:tcPr>
            <w:tcW w:w="1871" w:type="dxa"/>
          </w:tcPr>
          <w:p w14:paraId="026878A8" w14:textId="6B49B62A" w:rsidR="003F6F53" w:rsidRPr="00782BDE" w:rsidRDefault="00FB6DE8" w:rsidP="006B1CDF">
            <w:pPr>
              <w:pStyle w:val="TableSideHeading"/>
              <w:keepLines w:val="0"/>
              <w:rPr>
                <w:color w:val="171717" w:themeColor="background2" w:themeShade="1A"/>
                <w:rtl/>
              </w:rPr>
            </w:pPr>
            <w:bookmarkStart w:id="44" w:name="_Toc70352832"/>
            <w:bookmarkStart w:id="45" w:name="_Toc70352854"/>
            <w:bookmarkStart w:id="46" w:name="_Toc70352874"/>
            <w:bookmarkStart w:id="47" w:name="_Toc70352896"/>
            <w:bookmarkStart w:id="48" w:name="_Toc70527598"/>
            <w:bookmarkStart w:id="49" w:name="_Toc71112901"/>
            <w:r w:rsidRPr="00782BDE">
              <w:rPr>
                <w:rFonts w:hint="cs"/>
                <w:color w:val="171717" w:themeColor="background2" w:themeShade="1A"/>
                <w:rtl/>
              </w:rPr>
              <w:t>תיקון סעיף 1</w:t>
            </w:r>
            <w:bookmarkEnd w:id="44"/>
            <w:bookmarkEnd w:id="45"/>
            <w:bookmarkEnd w:id="46"/>
            <w:bookmarkEnd w:id="47"/>
            <w:bookmarkEnd w:id="48"/>
            <w:bookmarkEnd w:id="49"/>
          </w:p>
        </w:tc>
        <w:tc>
          <w:tcPr>
            <w:tcW w:w="624" w:type="dxa"/>
          </w:tcPr>
          <w:p w14:paraId="7CE982EB" w14:textId="77777777" w:rsidR="003F6F53" w:rsidRPr="000B3AD0" w:rsidRDefault="003F6F53" w:rsidP="006B1CDF">
            <w:pPr>
              <w:pStyle w:val="TableText"/>
              <w:keepLines w:val="0"/>
              <w:numPr>
                <w:ilvl w:val="0"/>
                <w:numId w:val="4"/>
              </w:numPr>
              <w:rPr>
                <w:color w:val="171717" w:themeColor="background2" w:themeShade="1A"/>
              </w:rPr>
            </w:pPr>
          </w:p>
        </w:tc>
        <w:tc>
          <w:tcPr>
            <w:tcW w:w="7146" w:type="dxa"/>
          </w:tcPr>
          <w:p w14:paraId="255072ED" w14:textId="21096A98" w:rsidR="003F6F53" w:rsidRPr="000B3AD0" w:rsidRDefault="003F6F53" w:rsidP="006B1CDF">
            <w:pPr>
              <w:pStyle w:val="TableBlock"/>
              <w:rPr>
                <w:color w:val="171717" w:themeColor="background2" w:themeShade="1A"/>
                <w:rtl/>
              </w:rPr>
            </w:pPr>
            <w:r w:rsidRPr="000B3AD0">
              <w:rPr>
                <w:rFonts w:hint="cs"/>
                <w:color w:val="171717" w:themeColor="background2" w:themeShade="1A"/>
                <w:rtl/>
              </w:rPr>
              <w:t xml:space="preserve">בסעיף 1 לכללים העיקריים, ההגדרה "כבילת מחיר" </w:t>
            </w:r>
            <w:r w:rsidRPr="000B3AD0">
              <w:rPr>
                <w:color w:val="171717" w:themeColor="background2" w:themeShade="1A"/>
                <w:rtl/>
              </w:rPr>
              <w:t>–</w:t>
            </w:r>
            <w:r w:rsidRPr="000B3AD0">
              <w:rPr>
                <w:rFonts w:hint="cs"/>
                <w:color w:val="171717" w:themeColor="background2" w:themeShade="1A"/>
                <w:rtl/>
              </w:rPr>
              <w:t xml:space="preserve"> תימחק.</w:t>
            </w:r>
          </w:p>
        </w:tc>
      </w:tr>
      <w:tr w:rsidR="00E95BDD" w14:paraId="435A42D9" w14:textId="77777777" w:rsidTr="00E65A60">
        <w:trPr>
          <w:cantSplit/>
          <w:trHeight w:val="60"/>
        </w:trPr>
        <w:tc>
          <w:tcPr>
            <w:tcW w:w="1871" w:type="dxa"/>
          </w:tcPr>
          <w:p w14:paraId="61460047" w14:textId="0883500D" w:rsidR="00782BDE" w:rsidRDefault="00FA200F" w:rsidP="002E331F">
            <w:pPr>
              <w:pStyle w:val="TableSideHeading"/>
              <w:keepLines w:val="0"/>
              <w:rPr>
                <w:color w:val="171717" w:themeColor="background2" w:themeShade="1A"/>
              </w:rPr>
            </w:pPr>
            <w:bookmarkStart w:id="50" w:name="_Toc61248057"/>
            <w:bookmarkStart w:id="51" w:name="_Toc61248079"/>
            <w:bookmarkStart w:id="52" w:name="_Toc70352833"/>
            <w:bookmarkStart w:id="53" w:name="_Toc70352855"/>
            <w:bookmarkStart w:id="54" w:name="_Toc70352875"/>
            <w:bookmarkStart w:id="55" w:name="_Toc70352897"/>
            <w:bookmarkStart w:id="56" w:name="_Toc70527599"/>
            <w:bookmarkStart w:id="57" w:name="_Toc71112902"/>
            <w:r w:rsidRPr="00782BDE">
              <w:rPr>
                <w:rFonts w:hint="cs"/>
                <w:color w:val="171717" w:themeColor="background2" w:themeShade="1A"/>
                <w:rtl/>
              </w:rPr>
              <w:t>תיקון סעיף</w:t>
            </w:r>
            <w:r w:rsidR="00E95BDD" w:rsidRPr="00782BDE">
              <w:rPr>
                <w:rFonts w:hint="cs"/>
                <w:color w:val="171717" w:themeColor="background2" w:themeShade="1A"/>
                <w:rtl/>
              </w:rPr>
              <w:t xml:space="preserve"> </w:t>
            </w:r>
            <w:bookmarkEnd w:id="50"/>
            <w:bookmarkEnd w:id="51"/>
            <w:r w:rsidR="002E331F" w:rsidRPr="00782BDE">
              <w:rPr>
                <w:rFonts w:hint="cs"/>
                <w:color w:val="171717" w:themeColor="background2" w:themeShade="1A"/>
                <w:rtl/>
              </w:rPr>
              <w:t>2</w:t>
            </w:r>
            <w:bookmarkEnd w:id="52"/>
            <w:bookmarkEnd w:id="53"/>
            <w:bookmarkEnd w:id="54"/>
            <w:bookmarkEnd w:id="55"/>
            <w:bookmarkEnd w:id="56"/>
            <w:bookmarkEnd w:id="57"/>
          </w:p>
          <w:p w14:paraId="6C2B2093" w14:textId="4D8D8656" w:rsidR="00782BDE" w:rsidRDefault="00782BDE" w:rsidP="00782BDE"/>
          <w:p w14:paraId="4967707A" w14:textId="2052CCFE" w:rsidR="00E95BDD" w:rsidRPr="00E65A60" w:rsidRDefault="00782BDE" w:rsidP="00E65A60">
            <w:pPr>
              <w:tabs>
                <w:tab w:val="left" w:pos="1857"/>
              </w:tabs>
            </w:pPr>
            <w:r>
              <w:rPr>
                <w:rtl/>
              </w:rPr>
              <w:tab/>
            </w:r>
          </w:p>
        </w:tc>
        <w:tc>
          <w:tcPr>
            <w:tcW w:w="624" w:type="dxa"/>
          </w:tcPr>
          <w:p w14:paraId="55859515" w14:textId="77777777" w:rsidR="00E95BDD" w:rsidRPr="00782BDE" w:rsidRDefault="00E95BDD" w:rsidP="00E95BDD">
            <w:pPr>
              <w:pStyle w:val="TableText"/>
              <w:keepLines w:val="0"/>
              <w:numPr>
                <w:ilvl w:val="0"/>
                <w:numId w:val="4"/>
              </w:numPr>
              <w:rPr>
                <w:color w:val="171717" w:themeColor="background2" w:themeShade="1A"/>
              </w:rPr>
            </w:pPr>
          </w:p>
        </w:tc>
        <w:tc>
          <w:tcPr>
            <w:tcW w:w="7146" w:type="dxa"/>
          </w:tcPr>
          <w:p w14:paraId="00B5390C" w14:textId="0DD2CBA8" w:rsidR="00E95BDD" w:rsidRPr="00782BDE" w:rsidRDefault="00FB6DE8" w:rsidP="000B3AD0">
            <w:pPr>
              <w:pStyle w:val="TableBlock"/>
              <w:keepLines w:val="0"/>
              <w:tabs>
                <w:tab w:val="left" w:pos="6214"/>
              </w:tabs>
              <w:rPr>
                <w:color w:val="171717" w:themeColor="background2" w:themeShade="1A"/>
              </w:rPr>
            </w:pPr>
            <w:r w:rsidRPr="00782BDE">
              <w:rPr>
                <w:rFonts w:hint="cs"/>
                <w:color w:val="171717" w:themeColor="background2" w:themeShade="1A"/>
                <w:rtl/>
              </w:rPr>
              <w:t>בסעיף 2 לכללים העיקריים, במקום "הסדר כובל שאינו הסדר אופקי ואין בו כבילת מחיר", יב</w:t>
            </w:r>
            <w:r w:rsidR="00044BB8">
              <w:rPr>
                <w:rFonts w:hint="cs"/>
                <w:color w:val="171717" w:themeColor="background2" w:themeShade="1A"/>
                <w:rtl/>
              </w:rPr>
              <w:t>וא "הסדר כובל שאינו הסדר אופקי" ובמקום להגבלים עסקיים" יבוא "לתחרות".</w:t>
            </w:r>
            <w:r w:rsidR="007F4C33">
              <w:rPr>
                <w:rFonts w:hint="cs"/>
                <w:color w:val="171717" w:themeColor="background2" w:themeShade="1A"/>
                <w:rtl/>
              </w:rPr>
              <w:t xml:space="preserve"> </w:t>
            </w:r>
          </w:p>
        </w:tc>
      </w:tr>
      <w:tr w:rsidR="000B3AD0" w14:paraId="34EB5908" w14:textId="6610F634" w:rsidTr="00E65A60">
        <w:trPr>
          <w:cantSplit/>
          <w:trHeight w:val="60"/>
        </w:trPr>
        <w:tc>
          <w:tcPr>
            <w:tcW w:w="1871" w:type="dxa"/>
          </w:tcPr>
          <w:p w14:paraId="5A16D58A" w14:textId="721C52A9" w:rsidR="000B3AD0" w:rsidRDefault="000B3AD0" w:rsidP="002E331F">
            <w:pPr>
              <w:pStyle w:val="TableSideHeading"/>
              <w:keepLines w:val="0"/>
              <w:rPr>
                <w:rtl/>
              </w:rPr>
            </w:pPr>
            <w:bookmarkStart w:id="58" w:name="_Toc61248058"/>
            <w:bookmarkStart w:id="59" w:name="_Toc61248080"/>
            <w:bookmarkStart w:id="60" w:name="_Toc70352834"/>
            <w:bookmarkStart w:id="61" w:name="_Toc70352856"/>
            <w:bookmarkStart w:id="62" w:name="_Toc70352876"/>
            <w:bookmarkStart w:id="63" w:name="_Toc70352898"/>
            <w:bookmarkStart w:id="64" w:name="_Toc70527600"/>
            <w:bookmarkStart w:id="65" w:name="_Toc71112903"/>
            <w:r>
              <w:rPr>
                <w:rFonts w:hint="cs"/>
                <w:rtl/>
              </w:rPr>
              <w:t>תוקף</w:t>
            </w:r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</w:p>
        </w:tc>
        <w:tc>
          <w:tcPr>
            <w:tcW w:w="624" w:type="dxa"/>
          </w:tcPr>
          <w:p w14:paraId="390AE3BA" w14:textId="5ED71DE9" w:rsidR="000B3AD0" w:rsidRDefault="000B3AD0" w:rsidP="00E95BDD">
            <w:pPr>
              <w:pStyle w:val="TableText"/>
              <w:keepLines w:val="0"/>
              <w:numPr>
                <w:ilvl w:val="0"/>
                <w:numId w:val="4"/>
              </w:numPr>
            </w:pPr>
          </w:p>
        </w:tc>
        <w:tc>
          <w:tcPr>
            <w:tcW w:w="7146" w:type="dxa"/>
          </w:tcPr>
          <w:p w14:paraId="71CF332E" w14:textId="246714D9" w:rsidR="000B3AD0" w:rsidRDefault="00D52528" w:rsidP="00D25D99">
            <w:pPr>
              <w:pStyle w:val="TableBlock"/>
              <w:keepLines w:val="0"/>
              <w:tabs>
                <w:tab w:val="left" w:pos="6214"/>
              </w:tabs>
              <w:rPr>
                <w:rtl/>
              </w:rPr>
            </w:pPr>
            <w:r>
              <w:rPr>
                <w:rFonts w:hint="cs"/>
                <w:rtl/>
              </w:rPr>
              <w:t>תוק</w:t>
            </w:r>
            <w:r w:rsidR="00D25D99">
              <w:rPr>
                <w:rFonts w:hint="cs"/>
                <w:rtl/>
              </w:rPr>
              <w:t xml:space="preserve">ף </w:t>
            </w:r>
            <w:r>
              <w:rPr>
                <w:rFonts w:hint="cs"/>
                <w:rtl/>
              </w:rPr>
              <w:t xml:space="preserve">כללים אלה עד יום </w:t>
            </w:r>
            <w:r w:rsidR="000B3AD0" w:rsidRPr="00604D0F">
              <w:rPr>
                <w:rFonts w:hint="cs"/>
                <w:rtl/>
              </w:rPr>
              <w:t>ד' בתשרי התשפ"ז (15 בספטמבר 2026).</w:t>
            </w:r>
          </w:p>
        </w:tc>
      </w:tr>
    </w:tbl>
    <w:p w14:paraId="5110FB7F" w14:textId="77777777" w:rsidR="003A35C0" w:rsidRDefault="003A35C0" w:rsidP="00307E94"/>
    <w:p w14:paraId="138D1A7F" w14:textId="77777777" w:rsidR="003A35C0" w:rsidRDefault="003A35C0" w:rsidP="00307E94">
      <w:pPr>
        <w:rPr>
          <w:rtl/>
        </w:rPr>
      </w:pPr>
    </w:p>
    <w:p w14:paraId="273E2812" w14:textId="77777777" w:rsidR="003A35C0" w:rsidRDefault="003A35C0" w:rsidP="00307E94">
      <w:pPr>
        <w:rPr>
          <w:rFonts w:eastAsia="Calibri"/>
          <w:rtl/>
        </w:rPr>
      </w:pPr>
      <w:r>
        <w:rPr>
          <w:rFonts w:eastAsia="Calibri" w:hint="cs"/>
          <w:rtl/>
        </w:rPr>
        <w:t>___ ב________ התש_______ (___ ב________ ____20)</w:t>
      </w:r>
    </w:p>
    <w:p w14:paraId="1693FB48" w14:textId="77777777" w:rsidR="003A35C0" w:rsidRDefault="003A35C0" w:rsidP="00307E94">
      <w:pPr>
        <w:rPr>
          <w:rFonts w:eastAsia="Calibri"/>
          <w:rtl/>
        </w:rPr>
      </w:pPr>
      <w:r>
        <w:rPr>
          <w:rFonts w:eastAsia="Calibri" w:hint="cs"/>
          <w:rtl/>
        </w:rPr>
        <w:t>[תאריך עברי] ([תאריך לועזי])</w:t>
      </w:r>
    </w:p>
    <w:p w14:paraId="461BAA3C" w14:textId="77777777" w:rsidR="003A35C0" w:rsidRDefault="003A35C0" w:rsidP="00307E94">
      <w:pPr>
        <w:rPr>
          <w:rFonts w:eastAsia="Calibri"/>
          <w:rtl/>
        </w:rPr>
      </w:pPr>
      <w:r>
        <w:rPr>
          <w:rFonts w:eastAsia="Calibri" w:hint="cs"/>
          <w:rtl/>
        </w:rPr>
        <w:t>(חמ _____-3)</w:t>
      </w:r>
    </w:p>
    <w:p w14:paraId="2E5E98AA" w14:textId="77777777" w:rsidR="003A35C0" w:rsidRDefault="003A35C0" w:rsidP="00307E94">
      <w:pPr>
        <w:rPr>
          <w:rFonts w:eastAsia="Calibri"/>
          <w:rtl/>
        </w:rPr>
      </w:pPr>
    </w:p>
    <w:p w14:paraId="2E8BB7E3" w14:textId="77777777" w:rsidR="00604D0F" w:rsidRDefault="00604D0F" w:rsidP="00604D0F">
      <w:pPr>
        <w:ind w:left="5760"/>
        <w:jc w:val="center"/>
        <w:rPr>
          <w:rFonts w:eastAsia="Calibri"/>
          <w:rtl/>
        </w:rPr>
      </w:pPr>
      <w:bookmarkStart w:id="66" w:name="_Toc61248059"/>
      <w:bookmarkStart w:id="67" w:name="_Toc61248081"/>
      <w:r>
        <w:rPr>
          <w:rFonts w:eastAsia="Calibri" w:hint="cs"/>
          <w:rtl/>
        </w:rPr>
        <w:t>__________________</w:t>
      </w:r>
    </w:p>
    <w:p w14:paraId="411A43F3" w14:textId="77777777" w:rsidR="00604D0F" w:rsidRDefault="00604D0F" w:rsidP="00604D0F">
      <w:pPr>
        <w:ind w:left="5760"/>
        <w:jc w:val="center"/>
        <w:rPr>
          <w:rFonts w:eastAsia="Calibri"/>
          <w:rtl/>
        </w:rPr>
      </w:pPr>
      <w:r>
        <w:rPr>
          <w:rFonts w:eastAsia="Calibri" w:hint="cs"/>
          <w:rtl/>
        </w:rPr>
        <w:t>מיכל הלפרין</w:t>
      </w:r>
    </w:p>
    <w:p w14:paraId="27AD9BDE" w14:textId="77777777" w:rsidR="00604D0F" w:rsidRDefault="00604D0F" w:rsidP="00604D0F">
      <w:pPr>
        <w:ind w:left="5760"/>
        <w:jc w:val="center"/>
        <w:rPr>
          <w:rFonts w:eastAsia="Calibri"/>
          <w:rtl/>
        </w:rPr>
      </w:pPr>
      <w:r>
        <w:rPr>
          <w:rFonts w:eastAsia="Calibri" w:hint="cs"/>
          <w:rtl/>
        </w:rPr>
        <w:t>הממונה על התחרות</w:t>
      </w:r>
    </w:p>
    <w:p w14:paraId="4A415E47" w14:textId="77777777" w:rsidR="00604D0F" w:rsidRPr="00C640AA" w:rsidRDefault="00604D0F" w:rsidP="00604D0F">
      <w:pPr>
        <w:rPr>
          <w:rtl/>
        </w:rPr>
      </w:pPr>
    </w:p>
    <w:p w14:paraId="48CAA056" w14:textId="77777777" w:rsidR="00604D0F" w:rsidRDefault="00604D0F" w:rsidP="00604D0F">
      <w:pPr>
        <w:rPr>
          <w:rFonts w:eastAsia="Calibri"/>
          <w:rtl/>
        </w:rPr>
      </w:pPr>
    </w:p>
    <w:p w14:paraId="2075D537" w14:textId="1BE2880E" w:rsidR="00604D0F" w:rsidRDefault="00604D0F" w:rsidP="00D52528">
      <w:pPr>
        <w:ind w:left="5760"/>
        <w:jc w:val="center"/>
        <w:rPr>
          <w:rFonts w:eastAsia="Calibri"/>
          <w:rtl/>
        </w:rPr>
      </w:pPr>
      <w:r>
        <w:rPr>
          <w:rFonts w:eastAsia="Calibri" w:hint="cs"/>
          <w:rtl/>
        </w:rPr>
        <w:t>__________________</w:t>
      </w:r>
    </w:p>
    <w:p w14:paraId="63816DE1" w14:textId="77777777" w:rsidR="00604D0F" w:rsidRDefault="00604D0F" w:rsidP="00604D0F">
      <w:pPr>
        <w:ind w:left="5760"/>
        <w:jc w:val="center"/>
        <w:rPr>
          <w:rFonts w:eastAsia="Calibri"/>
          <w:rtl/>
        </w:rPr>
      </w:pPr>
      <w:r>
        <w:rPr>
          <w:rFonts w:eastAsia="Calibri" w:hint="cs"/>
          <w:rtl/>
        </w:rPr>
        <w:t>[שם מלא של המתקין]</w:t>
      </w:r>
    </w:p>
    <w:p w14:paraId="776134D7" w14:textId="1132BF43" w:rsidR="00604D0F" w:rsidRDefault="00044BB8" w:rsidP="00604D0F">
      <w:pPr>
        <w:ind w:left="5760"/>
        <w:jc w:val="center"/>
        <w:rPr>
          <w:rFonts w:eastAsia="Calibri"/>
          <w:rtl/>
        </w:rPr>
      </w:pPr>
      <w:r>
        <w:rPr>
          <w:rFonts w:eastAsia="Calibri" w:hint="cs"/>
          <w:rtl/>
        </w:rPr>
        <w:t>שר הכלכלה</w:t>
      </w:r>
    </w:p>
    <w:p w14:paraId="62E01AAB" w14:textId="77777777" w:rsidR="004F52C8" w:rsidRDefault="004F52C8" w:rsidP="00604D0F">
      <w:pPr>
        <w:ind w:left="5760"/>
        <w:jc w:val="center"/>
        <w:rPr>
          <w:rFonts w:eastAsia="Calibri"/>
          <w:rtl/>
        </w:rPr>
      </w:pPr>
    </w:p>
    <w:p w14:paraId="031561FB" w14:textId="3AA716C9" w:rsidR="003A35C0" w:rsidRDefault="003A35C0" w:rsidP="00307E94">
      <w:pPr>
        <w:pStyle w:val="HeadDivreiHesber"/>
        <w:rPr>
          <w:rtl/>
        </w:rPr>
      </w:pPr>
      <w:bookmarkStart w:id="68" w:name="_Toc70352835"/>
      <w:bookmarkStart w:id="69" w:name="_Toc70352857"/>
      <w:bookmarkStart w:id="70" w:name="_Toc70352877"/>
      <w:bookmarkStart w:id="71" w:name="_Toc70352899"/>
      <w:bookmarkStart w:id="72" w:name="_Toc70527601"/>
      <w:bookmarkStart w:id="73" w:name="_Toc71112904"/>
      <w:r>
        <w:rPr>
          <w:rtl/>
        </w:rPr>
        <w:t>דברי הסבר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74399873" w14:textId="7D116ACC" w:rsidR="00B81B1C" w:rsidRDefault="00544DDA" w:rsidP="00B81B1C">
      <w:pPr>
        <w:ind w:left="360"/>
        <w:rPr>
          <w:rFonts w:ascii="Arial" w:hAnsi="Arial"/>
          <w:rtl/>
        </w:rPr>
      </w:pPr>
      <w:r>
        <w:rPr>
          <w:rFonts w:ascii="Arial" w:hAnsi="Arial" w:hint="cs"/>
          <w:rtl/>
        </w:rPr>
        <w:t>מוצע</w:t>
      </w:r>
      <w:r w:rsidR="00B81B1C">
        <w:rPr>
          <w:rFonts w:ascii="Arial" w:hAnsi="Arial" w:hint="cs"/>
          <w:rtl/>
        </w:rPr>
        <w:t xml:space="preserve"> לחד</w:t>
      </w:r>
      <w:r w:rsidR="00B81B1C" w:rsidRPr="00BB72FF">
        <w:rPr>
          <w:rFonts w:ascii="Arial" w:hAnsi="Arial" w:hint="cs"/>
          <w:rtl/>
        </w:rPr>
        <w:t xml:space="preserve">ש </w:t>
      </w:r>
      <w:r w:rsidR="00B81B1C">
        <w:rPr>
          <w:rFonts w:ascii="Arial" w:hAnsi="Arial" w:hint="cs"/>
          <w:rtl/>
        </w:rPr>
        <w:t xml:space="preserve">את </w:t>
      </w:r>
      <w:r w:rsidR="00B81B1C" w:rsidRPr="00E439A5">
        <w:rPr>
          <w:rFonts w:ascii="Arial" w:hAnsi="Arial"/>
          <w:rtl/>
        </w:rPr>
        <w:t>כללי ההגבלים העסקיים (פטור סוג להסדרים שאינם אופקיים ואין בהם כבילות מחיר מסוימות)</w:t>
      </w:r>
      <w:r w:rsidR="001D0B0A">
        <w:rPr>
          <w:rFonts w:ascii="Arial" w:hAnsi="Arial" w:hint="cs"/>
          <w:rtl/>
        </w:rPr>
        <w:t xml:space="preserve">, </w:t>
      </w:r>
      <w:r w:rsidR="00B81B1C">
        <w:rPr>
          <w:rFonts w:ascii="Arial" w:hAnsi="Arial" w:hint="cs"/>
          <w:rtl/>
        </w:rPr>
        <w:t>תשע"ג-2013</w:t>
      </w:r>
      <w:r w:rsidR="00B81B1C" w:rsidRPr="00E439A5">
        <w:rPr>
          <w:rFonts w:ascii="Arial" w:hAnsi="Arial"/>
          <w:rtl/>
        </w:rPr>
        <w:t xml:space="preserve"> </w:t>
      </w:r>
      <w:r w:rsidR="00B81B1C">
        <w:rPr>
          <w:rFonts w:ascii="Arial" w:hAnsi="Arial" w:hint="cs"/>
          <w:rtl/>
        </w:rPr>
        <w:t>כך שיוארך</w:t>
      </w:r>
      <w:r w:rsidR="00B81B1C" w:rsidRPr="00BB72FF">
        <w:rPr>
          <w:rFonts w:ascii="Arial" w:hAnsi="Arial" w:hint="cs"/>
          <w:rtl/>
        </w:rPr>
        <w:t xml:space="preserve"> תוקפם ב-5 שנים נוספות וכן</w:t>
      </w:r>
      <w:r w:rsidR="00B81B1C">
        <w:rPr>
          <w:rFonts w:ascii="Arial" w:hAnsi="Arial" w:hint="cs"/>
          <w:rtl/>
        </w:rPr>
        <w:t xml:space="preserve"> לערוך</w:t>
      </w:r>
      <w:r w:rsidR="00B81B1C" w:rsidRPr="00BB72FF">
        <w:rPr>
          <w:rFonts w:ascii="Arial" w:hAnsi="Arial" w:hint="cs"/>
          <w:rtl/>
        </w:rPr>
        <w:t xml:space="preserve"> </w:t>
      </w:r>
      <w:r w:rsidR="00B81B1C">
        <w:rPr>
          <w:rFonts w:ascii="Arial" w:hAnsi="Arial" w:hint="cs"/>
          <w:rtl/>
        </w:rPr>
        <w:t>בהם מספר</w:t>
      </w:r>
      <w:r w:rsidR="00B81B1C" w:rsidRPr="00BB72FF">
        <w:rPr>
          <w:rFonts w:ascii="Arial" w:hAnsi="Arial" w:hint="cs"/>
          <w:rtl/>
        </w:rPr>
        <w:t xml:space="preserve"> תיקונים</w:t>
      </w:r>
      <w:r w:rsidR="00B81B1C">
        <w:rPr>
          <w:rFonts w:ascii="Arial" w:hAnsi="Arial" w:hint="cs"/>
          <w:rtl/>
        </w:rPr>
        <w:t xml:space="preserve"> נחוצים.</w:t>
      </w:r>
    </w:p>
    <w:p w14:paraId="609A5D5A" w14:textId="543C03A0" w:rsidR="00B81B1C" w:rsidRDefault="00B81B1C" w:rsidP="00B81B1C">
      <w:pPr>
        <w:rPr>
          <w:rtl/>
        </w:rPr>
      </w:pPr>
      <w:r>
        <w:rPr>
          <w:rFonts w:ascii="Arial" w:hAnsi="Arial" w:hint="cs"/>
          <w:rtl/>
        </w:rPr>
        <w:t>במסגרת התיקונים מ</w:t>
      </w:r>
      <w:r w:rsidRPr="009A2549">
        <w:rPr>
          <w:rtl/>
        </w:rPr>
        <w:t>וצע להתאים את נוסח הוראות פטור הסוג לתיקון מס' 21 לחוק במסגרתו שונה, בין היתר, שם החוק ל</w:t>
      </w:r>
      <w:r w:rsidR="00544DDA">
        <w:rPr>
          <w:rFonts w:hint="cs"/>
          <w:rtl/>
        </w:rPr>
        <w:t>"</w:t>
      </w:r>
      <w:r w:rsidRPr="009A2549">
        <w:rPr>
          <w:rtl/>
        </w:rPr>
        <w:t xml:space="preserve">חוק </w:t>
      </w:r>
      <w:r w:rsidRPr="009A2549">
        <w:rPr>
          <w:rtl/>
        </w:rPr>
        <w:lastRenderedPageBreak/>
        <w:t>התחרות הכלכלית</w:t>
      </w:r>
      <w:r w:rsidR="00544DDA">
        <w:rPr>
          <w:rFonts w:hint="cs"/>
          <w:rtl/>
        </w:rPr>
        <w:t>"</w:t>
      </w:r>
      <w:r>
        <w:rPr>
          <w:rFonts w:hint="cs"/>
          <w:rtl/>
        </w:rPr>
        <w:t>, ושם בית הדין ל</w:t>
      </w:r>
      <w:r w:rsidR="00544DDA">
        <w:rPr>
          <w:rFonts w:hint="cs"/>
          <w:rtl/>
        </w:rPr>
        <w:t>"</w:t>
      </w:r>
      <w:r>
        <w:rPr>
          <w:rFonts w:hint="cs"/>
          <w:rtl/>
        </w:rPr>
        <w:t>בית הדין לתחרות</w:t>
      </w:r>
      <w:r w:rsidR="00544DDA">
        <w:rPr>
          <w:rFonts w:hint="cs"/>
          <w:rtl/>
        </w:rPr>
        <w:t>"</w:t>
      </w:r>
      <w:r>
        <w:rPr>
          <w:rFonts w:hint="cs"/>
          <w:rtl/>
        </w:rPr>
        <w:t>. כמו כן, מוצע להסיר מן הפטור את ההחרגה שנוגעת לכבילות מחיר.</w:t>
      </w:r>
    </w:p>
    <w:p w14:paraId="1E71456E" w14:textId="77777777" w:rsidR="00E52CE9" w:rsidRDefault="00E52CE9" w:rsidP="00FC275E">
      <w:pPr>
        <w:rPr>
          <w:b/>
          <w:bCs/>
          <w:rtl/>
        </w:rPr>
      </w:pPr>
    </w:p>
    <w:p w14:paraId="5690B8DC" w14:textId="7090A8E4" w:rsidR="005863E8" w:rsidRPr="00604D0F" w:rsidRDefault="00FC275E" w:rsidP="00E52CE9">
      <w:pPr>
        <w:rPr>
          <w:b/>
          <w:bCs/>
          <w:rtl/>
        </w:rPr>
      </w:pPr>
      <w:r>
        <w:rPr>
          <w:rFonts w:hint="cs"/>
          <w:b/>
          <w:bCs/>
          <w:rtl/>
        </w:rPr>
        <w:t xml:space="preserve">סעיפים </w:t>
      </w:r>
      <w:r w:rsidR="00E52CE9">
        <w:rPr>
          <w:rFonts w:hint="cs"/>
          <w:b/>
          <w:bCs/>
          <w:rtl/>
        </w:rPr>
        <w:t>1-2 התאמת שם הכללים לתיקון החוק</w:t>
      </w:r>
    </w:p>
    <w:p w14:paraId="16A94C63" w14:textId="26C6D32B" w:rsidR="008D7DF7" w:rsidRDefault="008D7DF7" w:rsidP="00344516">
      <w:pPr>
        <w:rPr>
          <w:rtl/>
        </w:rPr>
      </w:pPr>
      <w:r>
        <w:rPr>
          <w:rFonts w:hint="cs"/>
          <w:rtl/>
        </w:rPr>
        <w:t>מוצע להתאים את נוסח הוראות פטור הסוג לתיקון מס' 21 לחוק התחרות הכלכלית, התשמ"ח-1988. במסגרתם שונה, בין היתר, שם החוק ל</w:t>
      </w:r>
      <w:r w:rsidR="00044BB8">
        <w:rPr>
          <w:rFonts w:hint="cs"/>
          <w:rtl/>
        </w:rPr>
        <w:t>"</w:t>
      </w:r>
      <w:r>
        <w:rPr>
          <w:rFonts w:hint="cs"/>
          <w:rtl/>
        </w:rPr>
        <w:t>חוק התחרות הכלכלית</w:t>
      </w:r>
      <w:r w:rsidR="00044BB8">
        <w:rPr>
          <w:rFonts w:hint="cs"/>
          <w:rtl/>
        </w:rPr>
        <w:t>"</w:t>
      </w:r>
      <w:r>
        <w:rPr>
          <w:rFonts w:hint="cs"/>
          <w:rtl/>
        </w:rPr>
        <w:t xml:space="preserve"> ושמו של בית הדין ל</w:t>
      </w:r>
      <w:r w:rsidR="00044BB8">
        <w:rPr>
          <w:rFonts w:hint="cs"/>
          <w:rtl/>
        </w:rPr>
        <w:t>"</w:t>
      </w:r>
      <w:r>
        <w:rPr>
          <w:rFonts w:hint="cs"/>
          <w:rtl/>
        </w:rPr>
        <w:t>בית הדין לתחרות</w:t>
      </w:r>
      <w:r w:rsidR="00044BB8">
        <w:rPr>
          <w:rFonts w:hint="cs"/>
          <w:rtl/>
        </w:rPr>
        <w:t>"</w:t>
      </w:r>
      <w:r>
        <w:rPr>
          <w:rFonts w:hint="cs"/>
          <w:rtl/>
        </w:rPr>
        <w:t>.</w:t>
      </w:r>
    </w:p>
    <w:p w14:paraId="58A2B6C1" w14:textId="77777777" w:rsidR="00A72E1E" w:rsidRDefault="00A72E1E" w:rsidP="008D7DF7">
      <w:pPr>
        <w:rPr>
          <w:rtl/>
        </w:rPr>
      </w:pPr>
    </w:p>
    <w:p w14:paraId="58AB7107" w14:textId="114A49A2" w:rsidR="00E52CE9" w:rsidRDefault="00A72E1E" w:rsidP="008D7DF7">
      <w:pPr>
        <w:rPr>
          <w:b/>
          <w:bCs/>
          <w:rtl/>
        </w:rPr>
      </w:pPr>
      <w:r>
        <w:rPr>
          <w:rFonts w:hint="cs"/>
          <w:b/>
          <w:bCs/>
          <w:rtl/>
        </w:rPr>
        <w:t>תיקונים ב</w:t>
      </w:r>
      <w:r w:rsidR="00E52CE9">
        <w:rPr>
          <w:rFonts w:hint="cs"/>
          <w:b/>
          <w:bCs/>
          <w:rtl/>
        </w:rPr>
        <w:t>סעיפים 1-2</w:t>
      </w:r>
      <w:r>
        <w:rPr>
          <w:rFonts w:hint="cs"/>
          <w:b/>
          <w:bCs/>
          <w:rtl/>
        </w:rPr>
        <w:t>:</w:t>
      </w:r>
      <w:r w:rsidR="00E52CE9">
        <w:rPr>
          <w:rFonts w:hint="cs"/>
          <w:b/>
          <w:bCs/>
          <w:rtl/>
        </w:rPr>
        <w:t xml:space="preserve"> הסרת ההחרגה של כבילת מחיר מפטור הסוג </w:t>
      </w:r>
    </w:p>
    <w:p w14:paraId="1C95C2E1" w14:textId="414C3C6C" w:rsidR="005B04A7" w:rsidRDefault="00E366D8" w:rsidP="00565648">
      <w:pPr>
        <w:rPr>
          <w:rtl/>
        </w:rPr>
      </w:pPr>
      <w:r w:rsidRPr="00E65A60">
        <w:rPr>
          <w:rtl/>
        </w:rPr>
        <w:t>ב- 2013 הותק</w:t>
      </w:r>
      <w:r>
        <w:rPr>
          <w:rFonts w:hint="cs"/>
          <w:rtl/>
        </w:rPr>
        <w:t>נו</w:t>
      </w:r>
      <w:r w:rsidRPr="00E65A60">
        <w:rPr>
          <w:rtl/>
        </w:rPr>
        <w:t xml:space="preserve"> לראשונה </w:t>
      </w:r>
      <w:r>
        <w:rPr>
          <w:rFonts w:hint="cs"/>
          <w:rtl/>
        </w:rPr>
        <w:t xml:space="preserve">כללי </w:t>
      </w:r>
      <w:r w:rsidRPr="00E65A60">
        <w:rPr>
          <w:rtl/>
        </w:rPr>
        <w:t xml:space="preserve">פטור סוג להסדרים שאינם </w:t>
      </w:r>
      <w:r>
        <w:rPr>
          <w:rFonts w:hint="cs"/>
          <w:rtl/>
        </w:rPr>
        <w:t>אופקיים</w:t>
      </w:r>
      <w:r w:rsidRPr="00E65A60">
        <w:rPr>
          <w:rtl/>
        </w:rPr>
        <w:t xml:space="preserve"> ושאין בהם כביל</w:t>
      </w:r>
      <w:r>
        <w:rPr>
          <w:rFonts w:hint="cs"/>
          <w:rtl/>
        </w:rPr>
        <w:t>ו</w:t>
      </w:r>
      <w:r w:rsidRPr="00E65A60">
        <w:rPr>
          <w:rtl/>
        </w:rPr>
        <w:t>ת מחיר</w:t>
      </w:r>
      <w:r>
        <w:rPr>
          <w:rFonts w:hint="cs"/>
          <w:rtl/>
        </w:rPr>
        <w:t xml:space="preserve"> מסוימות</w:t>
      </w:r>
      <w:r w:rsidRPr="00E65A60">
        <w:rPr>
          <w:rtl/>
        </w:rPr>
        <w:t xml:space="preserve"> (</w:t>
      </w:r>
      <w:r>
        <w:rPr>
          <w:rFonts w:hint="cs"/>
          <w:rtl/>
        </w:rPr>
        <w:t xml:space="preserve">להלן </w:t>
      </w:r>
      <w:r>
        <w:rPr>
          <w:rFonts w:hint="cs"/>
          <w:b/>
          <w:bCs/>
          <w:rtl/>
        </w:rPr>
        <w:t>פטור הסוג האנכי</w:t>
      </w:r>
      <w:r w:rsidRPr="00E65A60">
        <w:rPr>
          <w:rtl/>
        </w:rPr>
        <w:t>). פטור הסוג</w:t>
      </w:r>
      <w:r>
        <w:rPr>
          <w:rFonts w:hint="cs"/>
          <w:rtl/>
        </w:rPr>
        <w:t xml:space="preserve"> האנכי</w:t>
      </w:r>
      <w:r w:rsidRPr="00E65A60">
        <w:rPr>
          <w:rtl/>
        </w:rPr>
        <w:t xml:space="preserve"> קבע, כי בניגוד למה שהיה מקובל עד אותה </w:t>
      </w:r>
      <w:r w:rsidR="001D0B0A">
        <w:rPr>
          <w:rFonts w:hint="cs"/>
          <w:rtl/>
        </w:rPr>
        <w:t>ה</w:t>
      </w:r>
      <w:r w:rsidRPr="00E65A60">
        <w:rPr>
          <w:rtl/>
        </w:rPr>
        <w:t>עת, הסדר ש</w:t>
      </w:r>
      <w:r w:rsidR="00544DDA">
        <w:rPr>
          <w:rFonts w:hint="cs"/>
          <w:rtl/>
        </w:rPr>
        <w:t>אינו</w:t>
      </w:r>
      <w:r w:rsidRPr="00E65A60">
        <w:rPr>
          <w:rtl/>
        </w:rPr>
        <w:t xml:space="preserve"> בין מתחרים אלא בין ספק ללקוח, ייחשב כהסדר חוקי, </w:t>
      </w:r>
      <w:r w:rsidR="002E3DB1">
        <w:rPr>
          <w:rFonts w:hint="cs"/>
          <w:rtl/>
        </w:rPr>
        <w:t xml:space="preserve"> </w:t>
      </w:r>
      <w:r w:rsidR="001378AE">
        <w:rPr>
          <w:rFonts w:hint="cs"/>
          <w:rtl/>
        </w:rPr>
        <w:t xml:space="preserve">בהתקיים </w:t>
      </w:r>
      <w:r w:rsidR="002E3DB1">
        <w:rPr>
          <w:rFonts w:hint="cs"/>
          <w:rtl/>
        </w:rPr>
        <w:t xml:space="preserve">שני התנאים בסעיף 2 לפטור הסוג, המבוססים על סעיף </w:t>
      </w:r>
      <w:r w:rsidR="0076295C">
        <w:rPr>
          <w:rFonts w:hint="cs"/>
          <w:rtl/>
        </w:rPr>
        <w:t>15א לחוק התחרות הכלכלית, התשמ"ח-</w:t>
      </w:r>
      <w:r w:rsidR="002E3DB1">
        <w:rPr>
          <w:rFonts w:hint="cs"/>
          <w:rtl/>
        </w:rPr>
        <w:t>1988</w:t>
      </w:r>
      <w:r w:rsidR="0076295C">
        <w:rPr>
          <w:rFonts w:hint="cs"/>
          <w:rtl/>
        </w:rPr>
        <w:t xml:space="preserve"> (להלן </w:t>
      </w:r>
      <w:r w:rsidR="0076295C">
        <w:rPr>
          <w:rFonts w:hint="cs"/>
          <w:b/>
          <w:bCs/>
          <w:rtl/>
        </w:rPr>
        <w:t>החוק</w:t>
      </w:r>
      <w:r w:rsidR="0076295C">
        <w:rPr>
          <w:rFonts w:hint="cs"/>
          <w:rtl/>
        </w:rPr>
        <w:t>)</w:t>
      </w:r>
      <w:r w:rsidR="002E3DB1">
        <w:rPr>
          <w:rFonts w:hint="cs"/>
          <w:rtl/>
        </w:rPr>
        <w:t xml:space="preserve">. דהיינו ההסדר יהיה פטור אם מבחינה מהותית </w:t>
      </w:r>
      <w:r>
        <w:rPr>
          <w:rFonts w:hint="cs"/>
          <w:rtl/>
        </w:rPr>
        <w:t>אין ב</w:t>
      </w:r>
      <w:r w:rsidR="002E3DB1">
        <w:rPr>
          <w:rFonts w:hint="cs"/>
          <w:rtl/>
        </w:rPr>
        <w:t xml:space="preserve">הסדר </w:t>
      </w:r>
      <w:r>
        <w:rPr>
          <w:rFonts w:hint="cs"/>
          <w:rtl/>
        </w:rPr>
        <w:t>כדי</w:t>
      </w:r>
      <w:r w:rsidR="002E3DB1">
        <w:rPr>
          <w:rFonts w:hint="cs"/>
          <w:rtl/>
        </w:rPr>
        <w:t xml:space="preserve"> לפגוע</w:t>
      </w:r>
      <w:r>
        <w:rPr>
          <w:rFonts w:hint="cs"/>
          <w:rtl/>
        </w:rPr>
        <w:t xml:space="preserve"> </w:t>
      </w:r>
      <w:r w:rsidRPr="00E65A60">
        <w:rPr>
          <w:rtl/>
        </w:rPr>
        <w:t xml:space="preserve"> </w:t>
      </w:r>
      <w:r>
        <w:rPr>
          <w:rFonts w:hint="cs"/>
          <w:rtl/>
        </w:rPr>
        <w:t>פגיעה</w:t>
      </w:r>
      <w:r w:rsidRPr="00E65A60">
        <w:rPr>
          <w:rtl/>
        </w:rPr>
        <w:t xml:space="preserve"> משמעותי</w:t>
      </w:r>
      <w:r>
        <w:rPr>
          <w:rFonts w:hint="cs"/>
          <w:rtl/>
        </w:rPr>
        <w:t>ת</w:t>
      </w:r>
      <w:r w:rsidRPr="00E65A60">
        <w:rPr>
          <w:rtl/>
        </w:rPr>
        <w:t xml:space="preserve"> בתחרות</w:t>
      </w:r>
      <w:r w:rsidR="002E3DB1">
        <w:rPr>
          <w:rFonts w:hint="cs"/>
          <w:rtl/>
        </w:rPr>
        <w:t>,</w:t>
      </w:r>
      <w:r w:rsidRPr="00E65A60">
        <w:rPr>
          <w:rtl/>
        </w:rPr>
        <w:t xml:space="preserve"> ו</w:t>
      </w:r>
      <w:r w:rsidR="002E3DB1">
        <w:rPr>
          <w:rFonts w:hint="cs"/>
          <w:rtl/>
        </w:rPr>
        <w:t>כן</w:t>
      </w:r>
      <w:r w:rsidR="00EB3740">
        <w:rPr>
          <w:rFonts w:hint="cs"/>
          <w:rtl/>
        </w:rPr>
        <w:t xml:space="preserve"> אם</w:t>
      </w:r>
      <w:r w:rsidR="002E3DB1">
        <w:rPr>
          <w:rFonts w:hint="cs"/>
          <w:rtl/>
        </w:rPr>
        <w:t xml:space="preserve"> עיקרו של ההסדר אינו בהפחתת התחרות </w:t>
      </w:r>
      <w:r w:rsidR="00EB3740">
        <w:rPr>
          <w:rFonts w:hint="cs"/>
          <w:rtl/>
        </w:rPr>
        <w:t>או במניעתה וכי הכבילות שבו</w:t>
      </w:r>
      <w:r w:rsidRPr="00E65A60">
        <w:rPr>
          <w:rtl/>
        </w:rPr>
        <w:t xml:space="preserve"> נחוצ</w:t>
      </w:r>
      <w:r w:rsidR="00EB3740">
        <w:rPr>
          <w:rFonts w:hint="cs"/>
          <w:rtl/>
        </w:rPr>
        <w:t>ות</w:t>
      </w:r>
      <w:r w:rsidR="00EB3740">
        <w:rPr>
          <w:rtl/>
        </w:rPr>
        <w:t xml:space="preserve"> לצורך מימוש</w:t>
      </w:r>
      <w:r w:rsidR="00EB3740">
        <w:rPr>
          <w:rFonts w:hint="cs"/>
          <w:rtl/>
        </w:rPr>
        <w:t xml:space="preserve"> עיקרו של ההסדר</w:t>
      </w:r>
      <w:r w:rsidRPr="00E65A60">
        <w:rPr>
          <w:rtl/>
        </w:rPr>
        <w:t xml:space="preserve"> בין הצדדים.</w:t>
      </w:r>
      <w:r w:rsidR="00344516">
        <w:rPr>
          <w:rStyle w:val="FootnoteReference"/>
          <w:rtl/>
        </w:rPr>
        <w:footnoteReference w:id="3"/>
      </w:r>
      <w:r w:rsidRPr="00E65A60">
        <w:rPr>
          <w:rtl/>
        </w:rPr>
        <w:t xml:space="preserve"> </w:t>
      </w:r>
      <w:r w:rsidR="005B04A7">
        <w:rPr>
          <w:rFonts w:hint="cs"/>
          <w:rtl/>
        </w:rPr>
        <w:t xml:space="preserve">פטור הסוג האנכי הוארך בשנת 2018 תוך </w:t>
      </w:r>
      <w:r w:rsidR="00565648">
        <w:rPr>
          <w:rFonts w:hint="cs"/>
          <w:rtl/>
        </w:rPr>
        <w:t xml:space="preserve">שינוי </w:t>
      </w:r>
      <w:r w:rsidR="005B04A7">
        <w:rPr>
          <w:rFonts w:hint="cs"/>
          <w:rtl/>
        </w:rPr>
        <w:t xml:space="preserve">הגדרת המתחרים שנועדה לסייע </w:t>
      </w:r>
      <w:r w:rsidR="00565648">
        <w:rPr>
          <w:rFonts w:hint="cs"/>
          <w:rtl/>
        </w:rPr>
        <w:t>לעושים שימוש ב</w:t>
      </w:r>
      <w:r w:rsidR="005B04A7">
        <w:rPr>
          <w:rFonts w:hint="cs"/>
          <w:rtl/>
        </w:rPr>
        <w:t>פטור בניתוח הסדרים אנכיים.</w:t>
      </w:r>
    </w:p>
    <w:p w14:paraId="78413F29" w14:textId="24B6D586" w:rsidR="00E366D8" w:rsidRDefault="002F1272" w:rsidP="00085DDD">
      <w:pPr>
        <w:rPr>
          <w:rtl/>
        </w:rPr>
      </w:pPr>
      <w:r>
        <w:rPr>
          <w:rFonts w:hint="cs"/>
          <w:rtl/>
        </w:rPr>
        <w:t xml:space="preserve">מפטור הסוג האנכי הוחרגו עד כה הסדרים הכוללים כבילות מחיר מסוימות ולמעשה כל הסדר כובל אנכי הכולל </w:t>
      </w:r>
      <w:r w:rsidR="00085DDD">
        <w:rPr>
          <w:rFonts w:hint="cs"/>
          <w:rtl/>
        </w:rPr>
        <w:t xml:space="preserve">כבילה </w:t>
      </w:r>
      <w:r w:rsidR="005D3F8F">
        <w:rPr>
          <w:rFonts w:hint="cs"/>
          <w:rtl/>
        </w:rPr>
        <w:t>של ה</w:t>
      </w:r>
      <w:r>
        <w:rPr>
          <w:rFonts w:hint="cs"/>
          <w:rtl/>
        </w:rPr>
        <w:t>מחיר</w:t>
      </w:r>
      <w:r w:rsidR="005D3F8F">
        <w:rPr>
          <w:rFonts w:hint="cs"/>
          <w:rtl/>
        </w:rPr>
        <w:t xml:space="preserve"> בו י</w:t>
      </w:r>
      <w:r w:rsidR="001D0B0A">
        <w:rPr>
          <w:rFonts w:hint="cs"/>
          <w:rtl/>
        </w:rPr>
        <w:t>י</w:t>
      </w:r>
      <w:r w:rsidR="005D3F8F">
        <w:rPr>
          <w:rFonts w:hint="cs"/>
          <w:rtl/>
        </w:rPr>
        <w:t>מכרו טובין כלשהם על ידי רוכש</w:t>
      </w:r>
      <w:r w:rsidR="00085DDD" w:rsidRPr="00085DDD">
        <w:rPr>
          <w:rFonts w:hint="cs"/>
          <w:rtl/>
        </w:rPr>
        <w:t xml:space="preserve"> </w:t>
      </w:r>
      <w:r w:rsidR="00085DDD">
        <w:rPr>
          <w:rFonts w:hint="cs"/>
          <w:rtl/>
        </w:rPr>
        <w:t>מחייב הגשת בקשת פטור פרטנית</w:t>
      </w:r>
      <w:r w:rsidR="00085DDD" w:rsidRPr="00E65A60">
        <w:rPr>
          <w:rtl/>
        </w:rPr>
        <w:t>.</w:t>
      </w:r>
      <w:r w:rsidR="005D3F8F">
        <w:rPr>
          <w:rFonts w:hint="cs"/>
          <w:rtl/>
        </w:rPr>
        <w:t xml:space="preserve"> זאת למעט</w:t>
      </w:r>
      <w:r>
        <w:rPr>
          <w:rFonts w:hint="cs"/>
          <w:rtl/>
        </w:rPr>
        <w:t xml:space="preserve"> </w:t>
      </w:r>
      <w:r w:rsidR="00085DDD">
        <w:rPr>
          <w:rFonts w:hint="cs"/>
          <w:rtl/>
        </w:rPr>
        <w:t xml:space="preserve"> </w:t>
      </w:r>
      <w:r w:rsidR="007D543E">
        <w:rPr>
          <w:rFonts w:hint="cs"/>
          <w:rtl/>
        </w:rPr>
        <w:t xml:space="preserve">קביעת מחיר </w:t>
      </w:r>
      <w:r w:rsidR="006329DE">
        <w:rPr>
          <w:rFonts w:hint="cs"/>
          <w:rtl/>
        </w:rPr>
        <w:t xml:space="preserve">מירבי </w:t>
      </w:r>
      <w:r w:rsidR="00C02BDD">
        <w:rPr>
          <w:rFonts w:hint="cs"/>
          <w:rtl/>
        </w:rPr>
        <w:t>של טובין כאמור</w:t>
      </w:r>
      <w:r w:rsidR="00085DDD">
        <w:rPr>
          <w:rFonts w:hint="cs"/>
          <w:rtl/>
        </w:rPr>
        <w:t xml:space="preserve"> שיכולה לחסות תחת פטור הסוג האנכי.</w:t>
      </w:r>
    </w:p>
    <w:p w14:paraId="75B20761" w14:textId="7768BD1B" w:rsidR="00974AC3" w:rsidRDefault="00974AC3" w:rsidP="009619C0">
      <w:pPr>
        <w:rPr>
          <w:rtl/>
        </w:rPr>
      </w:pPr>
      <w:r>
        <w:rPr>
          <w:rFonts w:hint="cs"/>
          <w:rtl/>
        </w:rPr>
        <w:t>כאמור בדברי ההסבר לפטור הסוג האנכי</w:t>
      </w:r>
      <w:r w:rsidR="00CF6A56">
        <w:rPr>
          <w:rFonts w:hint="cs"/>
          <w:rtl/>
        </w:rPr>
        <w:t xml:space="preserve"> </w:t>
      </w:r>
      <w:r w:rsidR="001D0B0A">
        <w:rPr>
          <w:rFonts w:hint="cs"/>
          <w:rtl/>
        </w:rPr>
        <w:t xml:space="preserve">של </w:t>
      </w:r>
      <w:r w:rsidR="00CF6A56">
        <w:rPr>
          <w:rFonts w:hint="cs"/>
          <w:rtl/>
        </w:rPr>
        <w:t>שנת 2013</w:t>
      </w:r>
      <w:r>
        <w:rPr>
          <w:rFonts w:hint="cs"/>
          <w:rtl/>
        </w:rPr>
        <w:t xml:space="preserve">, פטור הסוג </w:t>
      </w:r>
      <w:r w:rsidR="00CF6A56">
        <w:rPr>
          <w:rFonts w:hint="cs"/>
          <w:rtl/>
        </w:rPr>
        <w:t xml:space="preserve">האנכי </w:t>
      </w:r>
      <w:r>
        <w:rPr>
          <w:rFonts w:hint="cs"/>
          <w:rtl/>
        </w:rPr>
        <w:t xml:space="preserve">היווה </w:t>
      </w:r>
      <w:r>
        <w:rPr>
          <w:rtl/>
        </w:rPr>
        <w:t>צעד ראשון לקראת התאמת הדין הישראלי החל על הסדרים</w:t>
      </w:r>
      <w:r>
        <w:rPr>
          <w:rFonts w:hint="cs"/>
          <w:rtl/>
        </w:rPr>
        <w:t xml:space="preserve"> </w:t>
      </w:r>
      <w:r>
        <w:rPr>
          <w:rtl/>
        </w:rPr>
        <w:t>כובלים אנכיים לעקרונות הנוהגים במשטרים זרים</w:t>
      </w:r>
      <w:r>
        <w:rPr>
          <w:rFonts w:hint="cs"/>
          <w:rtl/>
        </w:rPr>
        <w:t xml:space="preserve"> בהם הסדרים כובלים נבחנים בדיעבד על פי בחינה מהותית ולא</w:t>
      </w:r>
      <w:r w:rsidR="00CF6A56">
        <w:rPr>
          <w:rFonts w:hint="cs"/>
          <w:rtl/>
        </w:rPr>
        <w:t xml:space="preserve"> על פי </w:t>
      </w:r>
      <w:r w:rsidR="00CF6A56">
        <w:rPr>
          <w:rFonts w:hint="cs"/>
          <w:rtl/>
        </w:rPr>
        <w:lastRenderedPageBreak/>
        <w:t>משטר של רישוי מראש</w:t>
      </w:r>
      <w:r>
        <w:rPr>
          <w:rtl/>
        </w:rPr>
        <w:t>.</w:t>
      </w:r>
      <w:r>
        <w:rPr>
          <w:rFonts w:hint="cs"/>
          <w:rtl/>
        </w:rPr>
        <w:t xml:space="preserve"> מאז</w:t>
      </w:r>
      <w:r w:rsidR="001378AE">
        <w:rPr>
          <w:rFonts w:hint="cs"/>
          <w:rtl/>
        </w:rPr>
        <w:t>,</w:t>
      </w:r>
      <w:r>
        <w:rPr>
          <w:rFonts w:hint="cs"/>
          <w:rtl/>
        </w:rPr>
        <w:t xml:space="preserve"> הורחב משטר הבחינה המהותית והוחל גם על הסדרים כובלים הנלווים למיזוג, </w:t>
      </w:r>
      <w:r w:rsidR="00CF6A56">
        <w:rPr>
          <w:rFonts w:hint="cs"/>
          <w:rtl/>
        </w:rPr>
        <w:t>הסדרים שעניינם ייצוא ציוד בטחוני אל מחוץ לישראל, הסדרים בין מובילים באוויר ומיזמים משותפים</w:t>
      </w:r>
      <w:r w:rsidR="001D0B0A">
        <w:rPr>
          <w:rFonts w:hint="cs"/>
          <w:rtl/>
        </w:rPr>
        <w:t xml:space="preserve"> מסוי</w:t>
      </w:r>
      <w:r w:rsidR="006329DE">
        <w:rPr>
          <w:rFonts w:hint="cs"/>
          <w:rtl/>
        </w:rPr>
        <w:t>מים</w:t>
      </w:r>
      <w:r w:rsidR="00CF6A56">
        <w:rPr>
          <w:rFonts w:hint="cs"/>
          <w:rtl/>
        </w:rPr>
        <w:t>.</w:t>
      </w:r>
      <w:r w:rsidR="00344516">
        <w:rPr>
          <w:rStyle w:val="FootnoteReference"/>
          <w:rtl/>
        </w:rPr>
        <w:footnoteReference w:id="4"/>
      </w:r>
      <w:r>
        <w:rPr>
          <w:rFonts w:hint="cs"/>
          <w:rtl/>
        </w:rPr>
        <w:t xml:space="preserve">  </w:t>
      </w:r>
    </w:p>
    <w:p w14:paraId="05805FB5" w14:textId="1196F599" w:rsidR="00C42B78" w:rsidRDefault="00C42B78" w:rsidP="00C42B78">
      <w:pPr>
        <w:rPr>
          <w:rtl/>
        </w:rPr>
      </w:pPr>
      <w:r>
        <w:rPr>
          <w:rFonts w:hint="cs"/>
          <w:rtl/>
        </w:rPr>
        <w:t>כעת,</w:t>
      </w:r>
      <w:r w:rsidR="00C21DC7">
        <w:rPr>
          <w:rFonts w:hint="cs"/>
          <w:rtl/>
        </w:rPr>
        <w:t xml:space="preserve"> כחלק ממגמת ההרחבה של משטר הבחינה המהותית</w:t>
      </w:r>
      <w:r>
        <w:rPr>
          <w:rFonts w:hint="cs"/>
          <w:rtl/>
        </w:rPr>
        <w:t xml:space="preserve"> מוצע להסיר </w:t>
      </w:r>
      <w:r>
        <w:rPr>
          <w:rtl/>
        </w:rPr>
        <w:t>את סייג "כבילת המחיר</w:t>
      </w:r>
      <w:r>
        <w:rPr>
          <w:rFonts w:hint="cs"/>
          <w:rtl/>
        </w:rPr>
        <w:t>"</w:t>
      </w:r>
      <w:r>
        <w:rPr>
          <w:rtl/>
        </w:rPr>
        <w:t xml:space="preserve"> ובכך להתיר </w:t>
      </w:r>
      <w:r>
        <w:rPr>
          <w:rFonts w:hint="cs"/>
          <w:rtl/>
        </w:rPr>
        <w:t xml:space="preserve">בחינה מהותית </w:t>
      </w:r>
      <w:r>
        <w:rPr>
          <w:rtl/>
        </w:rPr>
        <w:t xml:space="preserve">גם להסדרי הכתבת מחיר אנכית </w:t>
      </w:r>
      <w:r>
        <w:rPr>
          <w:rFonts w:hint="cs"/>
          <w:rtl/>
        </w:rPr>
        <w:t>(המכונים בלעז</w:t>
      </w:r>
      <w:r>
        <w:rPr>
          <w:rtl/>
        </w:rPr>
        <w:t xml:space="preserve"> </w:t>
      </w:r>
      <w:r>
        <w:t>Resale Price Maintenance – RPM</w:t>
      </w:r>
      <w:r>
        <w:rPr>
          <w:rFonts w:hint="cs"/>
          <w:rtl/>
        </w:rPr>
        <w:t>) בדומה ליתר ההסדרים האנכיים</w:t>
      </w:r>
      <w:r>
        <w:rPr>
          <w:rtl/>
        </w:rPr>
        <w:t xml:space="preserve">. </w:t>
      </w:r>
    </w:p>
    <w:p w14:paraId="28E45E40" w14:textId="74E77BE6" w:rsidR="00C42B78" w:rsidRDefault="00C42B78" w:rsidP="00657A77">
      <w:pPr>
        <w:rPr>
          <w:rtl/>
        </w:rPr>
      </w:pPr>
      <w:r>
        <w:rPr>
          <w:rtl/>
        </w:rPr>
        <w:t xml:space="preserve">בע"פ 5823/14 </w:t>
      </w:r>
      <w:r w:rsidRPr="00C21DC7">
        <w:rPr>
          <w:b/>
          <w:bCs/>
          <w:rtl/>
        </w:rPr>
        <w:t>שופרסל בע"מ נ' מדינת ישראל</w:t>
      </w:r>
      <w:r>
        <w:rPr>
          <w:rtl/>
        </w:rPr>
        <w:t xml:space="preserve"> (פורסם בנבו, 10.8.15)</w:t>
      </w:r>
      <w:r w:rsidR="00C950CE">
        <w:rPr>
          <w:rFonts w:hint="cs"/>
          <w:rtl/>
        </w:rPr>
        <w:t>, כשנתיים לאחר התקנתו של פטור הסוג דנן נפסקה הלכה חדשה. על פי הלכה זאת</w:t>
      </w:r>
      <w:r w:rsidR="002810C3">
        <w:rPr>
          <w:rFonts w:hint="cs"/>
          <w:rtl/>
        </w:rPr>
        <w:t xml:space="preserve"> </w:t>
      </w:r>
      <w:r>
        <w:rPr>
          <w:rtl/>
        </w:rPr>
        <w:t>נקבע כי ככלל</w:t>
      </w:r>
      <w:r w:rsidR="008D151A">
        <w:rPr>
          <w:rFonts w:hint="cs"/>
          <w:rtl/>
        </w:rPr>
        <w:t xml:space="preserve"> </w:t>
      </w:r>
      <w:r w:rsidR="008D151A">
        <w:rPr>
          <w:rtl/>
        </w:rPr>
        <w:t>הסדרים</w:t>
      </w:r>
      <w:r w:rsidR="008D151A">
        <w:rPr>
          <w:rFonts w:hint="cs"/>
          <w:rtl/>
        </w:rPr>
        <w:t xml:space="preserve"> אנכיים</w:t>
      </w:r>
      <w:r w:rsidR="008D151A">
        <w:rPr>
          <w:rtl/>
        </w:rPr>
        <w:t xml:space="preserve"> צריכים להיבחן לגופם</w:t>
      </w:r>
      <w:r w:rsidR="008D151A">
        <w:rPr>
          <w:rFonts w:hint="cs"/>
          <w:rtl/>
        </w:rPr>
        <w:t xml:space="preserve"> בהתאם לסעיף 2(א) לחוק</w:t>
      </w:r>
      <w:r w:rsidR="008D151A">
        <w:rPr>
          <w:rtl/>
        </w:rPr>
        <w:t>, על פי מידת השפעתם</w:t>
      </w:r>
      <w:r w:rsidR="00BC3300">
        <w:rPr>
          <w:rFonts w:hint="cs"/>
          <w:rtl/>
        </w:rPr>
        <w:t xml:space="preserve"> האפשרית</w:t>
      </w:r>
      <w:r w:rsidR="008D151A">
        <w:rPr>
          <w:rtl/>
        </w:rPr>
        <w:t xml:space="preserve"> על התחרות</w:t>
      </w:r>
      <w:r w:rsidR="008D151A">
        <w:rPr>
          <w:rFonts w:hint="cs"/>
          <w:rtl/>
        </w:rPr>
        <w:t xml:space="preserve"> וכי ככלל הסדרים אלו</w:t>
      </w:r>
      <w:r w:rsidR="008D151A">
        <w:rPr>
          <w:rtl/>
        </w:rPr>
        <w:t xml:space="preserve"> </w:t>
      </w:r>
      <w:r>
        <w:rPr>
          <w:rtl/>
        </w:rPr>
        <w:t xml:space="preserve">אינם נתפסים בגדר החזקות החלוטות של סעיף 2(ב) לחוק. </w:t>
      </w:r>
    </w:p>
    <w:p w14:paraId="1B54BC05" w14:textId="44B91639" w:rsidR="00C42B78" w:rsidRDefault="00C42B78" w:rsidP="00C42B78">
      <w:pPr>
        <w:rPr>
          <w:rtl/>
        </w:rPr>
      </w:pPr>
      <w:r>
        <w:rPr>
          <w:rtl/>
        </w:rPr>
        <w:t xml:space="preserve">הגם שהסדרי </w:t>
      </w:r>
      <w:r>
        <w:rPr>
          <w:rFonts w:hint="cs"/>
          <w:rtl/>
        </w:rPr>
        <w:t>הכתבת מחיר אנכית</w:t>
      </w:r>
      <w:r w:rsidR="008D151A">
        <w:rPr>
          <w:rtl/>
        </w:rPr>
        <w:t xml:space="preserve"> עלולים בנסיבות מסו</w:t>
      </w:r>
      <w:r>
        <w:rPr>
          <w:rtl/>
        </w:rPr>
        <w:t>ימות לפגוע בתחרות (כמו גם הסדרים אנכיים נוספים), תיתכנה הצדקות פרו-תחרותיות להסדרי</w:t>
      </w:r>
      <w:r>
        <w:rPr>
          <w:rFonts w:hint="cs"/>
          <w:rtl/>
        </w:rPr>
        <w:t>ם אלו</w:t>
      </w:r>
      <w:r>
        <w:rPr>
          <w:rtl/>
        </w:rPr>
        <w:t xml:space="preserve"> ובכלל זה הגברת התחרות הבין-מותגית וכפועל יוצא</w:t>
      </w:r>
      <w:r>
        <w:rPr>
          <w:rFonts w:hint="cs"/>
          <w:rtl/>
        </w:rPr>
        <w:t xml:space="preserve"> מכך</w:t>
      </w:r>
      <w:r>
        <w:rPr>
          <w:rtl/>
        </w:rPr>
        <w:t xml:space="preserve"> הגדלת הרווחה החברתית. בהתאם, ייתכנו הסדרי </w:t>
      </w:r>
      <w:r>
        <w:rPr>
          <w:rFonts w:hint="cs"/>
          <w:rtl/>
        </w:rPr>
        <w:t>הכתבת מחיר אנכית</w:t>
      </w:r>
      <w:r>
        <w:rPr>
          <w:rtl/>
        </w:rPr>
        <w:t xml:space="preserve"> שאף אם </w:t>
      </w:r>
      <w:r w:rsidR="008D151A">
        <w:rPr>
          <w:rFonts w:hint="cs"/>
          <w:rtl/>
        </w:rPr>
        <w:t xml:space="preserve">הם </w:t>
      </w:r>
      <w:r>
        <w:rPr>
          <w:rtl/>
        </w:rPr>
        <w:t>עולים כדי הסדר כובל</w:t>
      </w:r>
      <w:r>
        <w:rPr>
          <w:rFonts w:hint="cs"/>
          <w:rtl/>
        </w:rPr>
        <w:t xml:space="preserve"> בהתאם לסעיף 2(א) לחוק, הרי שהם</w:t>
      </w:r>
      <w:r>
        <w:rPr>
          <w:rtl/>
        </w:rPr>
        <w:t xml:space="preserve"> מקיימים את </w:t>
      </w:r>
      <w:r>
        <w:rPr>
          <w:rFonts w:hint="cs"/>
          <w:rtl/>
        </w:rPr>
        <w:t>ה</w:t>
      </w:r>
      <w:r>
        <w:rPr>
          <w:rtl/>
        </w:rPr>
        <w:t>תנאי</w:t>
      </w:r>
      <w:r>
        <w:rPr>
          <w:rFonts w:hint="cs"/>
          <w:rtl/>
        </w:rPr>
        <w:t>ם המהותיים למתן פטור סוג בהתאם לסעיף 15א לחוק</w:t>
      </w:r>
      <w:r>
        <w:rPr>
          <w:rtl/>
        </w:rPr>
        <w:t xml:space="preserve">. </w:t>
      </w:r>
    </w:p>
    <w:p w14:paraId="5B461F83" w14:textId="6D10DF62" w:rsidR="002810C3" w:rsidRDefault="002810C3" w:rsidP="006642BE">
      <w:pPr>
        <w:rPr>
          <w:rtl/>
        </w:rPr>
      </w:pPr>
      <w:r>
        <w:rPr>
          <w:rFonts w:hint="cs"/>
          <w:rtl/>
        </w:rPr>
        <w:t xml:space="preserve">מצב הדברים הקיים מייצר מצב שאיננו הרמוני, לפיו הסדרים </w:t>
      </w:r>
      <w:r w:rsidR="006642BE">
        <w:rPr>
          <w:rFonts w:hint="cs"/>
          <w:rtl/>
        </w:rPr>
        <w:t xml:space="preserve">כובלים </w:t>
      </w:r>
      <w:r>
        <w:rPr>
          <w:rFonts w:hint="cs"/>
          <w:rtl/>
        </w:rPr>
        <w:t>אנכיים מסוימים נבחנים על רקע שאלת</w:t>
      </w:r>
      <w:r w:rsidR="006642BE">
        <w:rPr>
          <w:rFonts w:hint="cs"/>
          <w:rtl/>
        </w:rPr>
        <w:t xml:space="preserve"> נחיצותם ו</w:t>
      </w:r>
      <w:r>
        <w:rPr>
          <w:rFonts w:hint="cs"/>
          <w:rtl/>
        </w:rPr>
        <w:t xml:space="preserve">פגיעתם בתחרות על מנת להכריע האם הם חוסים במסגרת פטור הסוג האנכי, בעוד הסדרים </w:t>
      </w:r>
      <w:r w:rsidR="006642BE">
        <w:rPr>
          <w:rFonts w:hint="cs"/>
          <w:rtl/>
        </w:rPr>
        <w:t xml:space="preserve">כובלים </w:t>
      </w:r>
      <w:r>
        <w:rPr>
          <w:rFonts w:hint="cs"/>
          <w:rtl/>
        </w:rPr>
        <w:t xml:space="preserve">אנכיים מסוג הכתבת מחיר </w:t>
      </w:r>
      <w:r w:rsidR="006642BE">
        <w:rPr>
          <w:rFonts w:hint="cs"/>
          <w:rtl/>
        </w:rPr>
        <w:t>הם אסורים אלא אם קיבלו אישור פרטני מראש ממערך הפיקוח על התחרות</w:t>
      </w:r>
      <w:r>
        <w:rPr>
          <w:rFonts w:hint="cs"/>
          <w:rtl/>
        </w:rPr>
        <w:t>.</w:t>
      </w:r>
      <w:r w:rsidR="00334853">
        <w:rPr>
          <w:rFonts w:hint="cs"/>
          <w:rtl/>
        </w:rPr>
        <w:t xml:space="preserve"> </w:t>
      </w:r>
      <w:r>
        <w:rPr>
          <w:rFonts w:hint="cs"/>
          <w:rtl/>
        </w:rPr>
        <w:t xml:space="preserve">  </w:t>
      </w:r>
    </w:p>
    <w:p w14:paraId="575F9C2B" w14:textId="38B5B856" w:rsidR="002810C3" w:rsidRDefault="002810C3" w:rsidP="00BC3300">
      <w:pPr>
        <w:rPr>
          <w:rtl/>
        </w:rPr>
      </w:pPr>
      <w:r>
        <w:rPr>
          <w:rtl/>
        </w:rPr>
        <w:t>שיקולים של</w:t>
      </w:r>
      <w:r>
        <w:rPr>
          <w:rFonts w:hint="cs"/>
          <w:rtl/>
        </w:rPr>
        <w:t xml:space="preserve"> </w:t>
      </w:r>
      <w:r>
        <w:rPr>
          <w:rtl/>
        </w:rPr>
        <w:t xml:space="preserve">הרמוניה סטטוטורית והאינטרס בהגברת הוודאות המשפטית </w:t>
      </w:r>
      <w:r>
        <w:rPr>
          <w:rFonts w:hint="cs"/>
          <w:rtl/>
        </w:rPr>
        <w:t>מצדיקים</w:t>
      </w:r>
      <w:r>
        <w:rPr>
          <w:rtl/>
        </w:rPr>
        <w:t xml:space="preserve"> בחינה</w:t>
      </w:r>
      <w:r>
        <w:rPr>
          <w:rFonts w:hint="cs"/>
          <w:rtl/>
        </w:rPr>
        <w:t xml:space="preserve"> </w:t>
      </w:r>
      <w:r w:rsidR="008D151A">
        <w:rPr>
          <w:rFonts w:hint="cs"/>
          <w:rtl/>
        </w:rPr>
        <w:t>מהותית</w:t>
      </w:r>
      <w:r>
        <w:rPr>
          <w:rtl/>
        </w:rPr>
        <w:t xml:space="preserve"> </w:t>
      </w:r>
      <w:r w:rsidR="00FD09FE">
        <w:rPr>
          <w:rFonts w:hint="cs"/>
          <w:rtl/>
        </w:rPr>
        <w:t xml:space="preserve">גם </w:t>
      </w:r>
      <w:r>
        <w:rPr>
          <w:rtl/>
        </w:rPr>
        <w:t>של הסדרים אלה בגדרי פטור הסוג</w:t>
      </w:r>
      <w:r>
        <w:rPr>
          <w:rFonts w:hint="cs"/>
          <w:rtl/>
        </w:rPr>
        <w:t xml:space="preserve"> האנכי</w:t>
      </w:r>
      <w:r>
        <w:rPr>
          <w:rtl/>
        </w:rPr>
        <w:t>. הדבר ייתר התדיינויות משפטיות לא הכרחי</w:t>
      </w:r>
      <w:r w:rsidR="00334853">
        <w:rPr>
          <w:rFonts w:hint="cs"/>
          <w:rtl/>
        </w:rPr>
        <w:t>ו</w:t>
      </w:r>
      <w:r>
        <w:rPr>
          <w:rtl/>
        </w:rPr>
        <w:t>ת ביחס</w:t>
      </w:r>
      <w:r>
        <w:rPr>
          <w:rFonts w:hint="cs"/>
          <w:rtl/>
        </w:rPr>
        <w:t xml:space="preserve"> </w:t>
      </w:r>
      <w:r>
        <w:rPr>
          <w:rtl/>
        </w:rPr>
        <w:t xml:space="preserve">למעמדם של הסדרי הכתבת מחיר </w:t>
      </w:r>
      <w:r w:rsidR="00FD09FE">
        <w:rPr>
          <w:rFonts w:hint="cs"/>
          <w:rtl/>
        </w:rPr>
        <w:t xml:space="preserve">נחוצים </w:t>
      </w:r>
      <w:r>
        <w:rPr>
          <w:rtl/>
        </w:rPr>
        <w:t xml:space="preserve">שאינם מקימים חשש לפגיעה משמעותית בתחרות </w:t>
      </w:r>
      <w:r w:rsidR="00BC3300">
        <w:rPr>
          <w:rFonts w:hint="cs"/>
          <w:rtl/>
        </w:rPr>
        <w:t xml:space="preserve">ויחסוך </w:t>
      </w:r>
      <w:r>
        <w:rPr>
          <w:rFonts w:hint="cs"/>
          <w:rtl/>
        </w:rPr>
        <w:t>נטל רגולטורי על צדדים להסדרים אלו משום ש</w:t>
      </w:r>
      <w:r>
        <w:rPr>
          <w:rtl/>
        </w:rPr>
        <w:t>לא ניתן להחיל עליהם את פטור</w:t>
      </w:r>
      <w:r>
        <w:rPr>
          <w:rFonts w:hint="cs"/>
          <w:rtl/>
        </w:rPr>
        <w:t xml:space="preserve"> הסוג</w:t>
      </w:r>
      <w:r>
        <w:rPr>
          <w:rtl/>
        </w:rPr>
        <w:t xml:space="preserve"> האנכי.</w:t>
      </w:r>
    </w:p>
    <w:p w14:paraId="0E7926A3" w14:textId="00D2296A" w:rsidR="001A2EF7" w:rsidRDefault="00C42B78" w:rsidP="00304863">
      <w:pPr>
        <w:rPr>
          <w:rtl/>
        </w:rPr>
      </w:pPr>
      <w:r>
        <w:rPr>
          <w:rtl/>
        </w:rPr>
        <w:lastRenderedPageBreak/>
        <w:t xml:space="preserve">משכך, מוצע לאפשר </w:t>
      </w:r>
      <w:r w:rsidR="00C21DC7">
        <w:rPr>
          <w:rFonts w:hint="cs"/>
          <w:rtl/>
        </w:rPr>
        <w:t>בחינה מהותית</w:t>
      </w:r>
      <w:r>
        <w:rPr>
          <w:rtl/>
        </w:rPr>
        <w:t xml:space="preserve"> בדבר עמידתם בתנאי פטור הסוג </w:t>
      </w:r>
      <w:r w:rsidR="00C21DC7">
        <w:rPr>
          <w:rFonts w:hint="cs"/>
          <w:rtl/>
        </w:rPr>
        <w:t xml:space="preserve">האנכי גם כאשר מדובר בהסדרי הכתבת מחיר אנכית </w:t>
      </w:r>
      <w:r>
        <w:rPr>
          <w:rtl/>
        </w:rPr>
        <w:t xml:space="preserve">וזאת בדומה להסדרים אנכיים אחרים שאף הם עלולים לפגוע בתחרות בנסיבות מסוימות. </w:t>
      </w:r>
      <w:r w:rsidR="00C21DC7" w:rsidRPr="00DC6B56">
        <w:rPr>
          <w:rtl/>
        </w:rPr>
        <w:t>חשוב להדגיש כי אין משמעות הדבר שהסדרי הכתבת מחיר מינימום הם הסדרים מותרים</w:t>
      </w:r>
      <w:r w:rsidR="00BC3300">
        <w:rPr>
          <w:rFonts w:hint="cs"/>
          <w:rtl/>
        </w:rPr>
        <w:t xml:space="preserve"> באופן גורף</w:t>
      </w:r>
      <w:r w:rsidR="00C21DC7" w:rsidRPr="00DC6B56">
        <w:rPr>
          <w:rtl/>
        </w:rPr>
        <w:t xml:space="preserve">. הסדרי הכתבת מחיר מינימום יהיו מותרים אך ורק אם </w:t>
      </w:r>
      <w:r w:rsidR="00230584">
        <w:rPr>
          <w:rFonts w:hint="cs"/>
          <w:rtl/>
        </w:rPr>
        <w:t xml:space="preserve">מתקיימים ביחס להסדר תנאי סעיף 2 לפטור הסוג, קרי - אין בהסדר כדי לפגוע </w:t>
      </w:r>
      <w:r w:rsidR="00230584" w:rsidRPr="00E65A60">
        <w:rPr>
          <w:rtl/>
        </w:rPr>
        <w:t xml:space="preserve"> </w:t>
      </w:r>
      <w:r w:rsidR="00230584">
        <w:rPr>
          <w:rFonts w:hint="cs"/>
          <w:rtl/>
        </w:rPr>
        <w:t>פגיעה</w:t>
      </w:r>
      <w:r w:rsidR="00230584" w:rsidRPr="00E65A60">
        <w:rPr>
          <w:rtl/>
        </w:rPr>
        <w:t xml:space="preserve"> משמעותי</w:t>
      </w:r>
      <w:r w:rsidR="00230584">
        <w:rPr>
          <w:rFonts w:hint="cs"/>
          <w:rtl/>
        </w:rPr>
        <w:t>ת</w:t>
      </w:r>
      <w:r w:rsidR="00230584" w:rsidRPr="00E65A60">
        <w:rPr>
          <w:rtl/>
        </w:rPr>
        <w:t xml:space="preserve"> בתחרות</w:t>
      </w:r>
      <w:r w:rsidR="00230584">
        <w:rPr>
          <w:rFonts w:hint="cs"/>
          <w:rtl/>
        </w:rPr>
        <w:t>,</w:t>
      </w:r>
      <w:r w:rsidR="00230584" w:rsidRPr="00E65A60">
        <w:rPr>
          <w:rtl/>
        </w:rPr>
        <w:t xml:space="preserve"> ו</w:t>
      </w:r>
      <w:r w:rsidR="00304863">
        <w:rPr>
          <w:rFonts w:hint="cs"/>
          <w:rtl/>
        </w:rPr>
        <w:t xml:space="preserve">כן </w:t>
      </w:r>
      <w:r w:rsidR="00230584">
        <w:rPr>
          <w:rFonts w:hint="cs"/>
          <w:rtl/>
        </w:rPr>
        <w:t>עיקרו של ההסדר אינו בהפחתת התחרות או במניעתה וכי הכבילות שבו</w:t>
      </w:r>
      <w:r w:rsidR="00230584" w:rsidRPr="00E65A60">
        <w:rPr>
          <w:rtl/>
        </w:rPr>
        <w:t xml:space="preserve"> נחוצ</w:t>
      </w:r>
      <w:r w:rsidR="00230584">
        <w:rPr>
          <w:rFonts w:hint="cs"/>
          <w:rtl/>
        </w:rPr>
        <w:t>ות</w:t>
      </w:r>
      <w:r w:rsidR="00230584">
        <w:rPr>
          <w:rtl/>
        </w:rPr>
        <w:t xml:space="preserve"> לצורך מימוש</w:t>
      </w:r>
      <w:r w:rsidR="00230584">
        <w:rPr>
          <w:rFonts w:hint="cs"/>
          <w:rtl/>
        </w:rPr>
        <w:t xml:space="preserve"> עיקרו</w:t>
      </w:r>
      <w:r w:rsidR="00230584" w:rsidRPr="00E65A60">
        <w:rPr>
          <w:rtl/>
        </w:rPr>
        <w:t>.</w:t>
      </w:r>
      <w:r w:rsidR="00C21DC7" w:rsidRPr="00DC6B56">
        <w:rPr>
          <w:rtl/>
        </w:rPr>
        <w:t xml:space="preserve"> </w:t>
      </w:r>
    </w:p>
    <w:p w14:paraId="56063DE5" w14:textId="0B577827" w:rsidR="00C42B78" w:rsidRDefault="001A2EF7" w:rsidP="00F26693">
      <w:pPr>
        <w:rPr>
          <w:rtl/>
        </w:rPr>
      </w:pPr>
      <w:r>
        <w:rPr>
          <w:rFonts w:hint="cs"/>
          <w:rtl/>
        </w:rPr>
        <w:t>בשנת 2017 פרס</w:t>
      </w:r>
      <w:r w:rsidR="00D02B25">
        <w:rPr>
          <w:rFonts w:hint="cs"/>
          <w:rtl/>
        </w:rPr>
        <w:t>מ</w:t>
      </w:r>
      <w:r>
        <w:rPr>
          <w:rFonts w:hint="cs"/>
          <w:rtl/>
        </w:rPr>
        <w:t xml:space="preserve">ה רשות התחרות </w:t>
      </w:r>
      <w:r w:rsidR="00304863">
        <w:rPr>
          <w:rFonts w:hint="cs"/>
          <w:rtl/>
        </w:rPr>
        <w:t xml:space="preserve">את </w:t>
      </w:r>
      <w:r w:rsidR="00304863">
        <w:rPr>
          <w:rtl/>
        </w:rPr>
        <w:t>גילוי דעת 2/17 בעניין הסדרי הכתבת מחיר אנכית</w:t>
      </w:r>
      <w:r w:rsidR="00304863">
        <w:rPr>
          <w:rFonts w:hint="cs"/>
          <w:rtl/>
        </w:rPr>
        <w:t xml:space="preserve"> (28.6.2017) </w:t>
      </w:r>
      <w:r w:rsidR="00304863">
        <w:rPr>
          <w:rFonts w:hint="cs"/>
          <w:b/>
          <w:bCs/>
          <w:rtl/>
        </w:rPr>
        <w:t xml:space="preserve">רשות התחרות </w:t>
      </w:r>
      <w:r w:rsidR="00304863">
        <w:rPr>
          <w:rFonts w:hint="cs"/>
          <w:rtl/>
        </w:rPr>
        <w:t>501266</w:t>
      </w:r>
      <w:r w:rsidR="00304863">
        <w:rPr>
          <w:rtl/>
        </w:rPr>
        <w:t xml:space="preserve"> </w:t>
      </w:r>
      <w:r w:rsidR="00304863">
        <w:rPr>
          <w:rFonts w:hint="cs"/>
          <w:rtl/>
        </w:rPr>
        <w:t xml:space="preserve">(להלן </w:t>
      </w:r>
      <w:r w:rsidR="00304863">
        <w:rPr>
          <w:rFonts w:hint="cs"/>
          <w:b/>
          <w:bCs/>
          <w:rtl/>
        </w:rPr>
        <w:t xml:space="preserve">גילוי </w:t>
      </w:r>
      <w:r w:rsidR="00304863" w:rsidRPr="00304863">
        <w:rPr>
          <w:rFonts w:hint="cs"/>
          <w:b/>
          <w:bCs/>
          <w:rtl/>
        </w:rPr>
        <w:t>הדעת</w:t>
      </w:r>
      <w:r w:rsidR="00304863">
        <w:rPr>
          <w:rFonts w:hint="cs"/>
          <w:rtl/>
        </w:rPr>
        <w:t xml:space="preserve">). </w:t>
      </w:r>
      <w:r w:rsidR="00F26693">
        <w:rPr>
          <w:rFonts w:hint="cs"/>
          <w:rtl/>
        </w:rPr>
        <w:t xml:space="preserve">גילוי הדעת </w:t>
      </w:r>
      <w:r w:rsidRPr="00304863">
        <w:rPr>
          <w:rFonts w:hint="cs"/>
          <w:rtl/>
        </w:rPr>
        <w:t>מסביר</w:t>
      </w:r>
      <w:r>
        <w:rPr>
          <w:rFonts w:hint="cs"/>
          <w:rtl/>
        </w:rPr>
        <w:t xml:space="preserve"> כיצד יש לבחון</w:t>
      </w:r>
      <w:r w:rsidR="00D02B25">
        <w:rPr>
          <w:rFonts w:hint="cs"/>
          <w:rtl/>
        </w:rPr>
        <w:t xml:space="preserve"> הסדר כובל של הכתבת מחיר ומה השיקולים התחרותיים שיש לשקול בעת בחינה כזאת.</w:t>
      </w:r>
      <w:r>
        <w:rPr>
          <w:rFonts w:hint="cs"/>
          <w:rtl/>
        </w:rPr>
        <w:t xml:space="preserve"> </w:t>
      </w:r>
      <w:r w:rsidR="00C42B78">
        <w:rPr>
          <w:rtl/>
        </w:rPr>
        <w:t xml:space="preserve">לצד </w:t>
      </w:r>
      <w:r w:rsidR="00C21DC7">
        <w:rPr>
          <w:rFonts w:hint="cs"/>
          <w:rtl/>
        </w:rPr>
        <w:t>תיקון</w:t>
      </w:r>
      <w:r w:rsidR="00C42B78">
        <w:rPr>
          <w:rtl/>
        </w:rPr>
        <w:t xml:space="preserve"> פטור הסוג </w:t>
      </w:r>
      <w:r w:rsidR="00D02B25">
        <w:rPr>
          <w:rFonts w:hint="cs"/>
          <w:rtl/>
        </w:rPr>
        <w:t xml:space="preserve">בכוונת הרשות להתאים את </w:t>
      </w:r>
      <w:r w:rsidR="00D02B25">
        <w:rPr>
          <w:rtl/>
        </w:rPr>
        <w:t xml:space="preserve"> </w:t>
      </w:r>
      <w:r w:rsidR="00C42B78">
        <w:rPr>
          <w:rtl/>
        </w:rPr>
        <w:t xml:space="preserve">גילוי </w:t>
      </w:r>
      <w:r w:rsidR="00F26693">
        <w:rPr>
          <w:rFonts w:hint="cs"/>
          <w:rtl/>
        </w:rPr>
        <w:t>ה</w:t>
      </w:r>
      <w:r w:rsidR="00C42B78">
        <w:rPr>
          <w:rtl/>
        </w:rPr>
        <w:t>דעת</w:t>
      </w:r>
      <w:r w:rsidR="00F26693">
        <w:rPr>
          <w:rFonts w:hint="cs"/>
          <w:rtl/>
        </w:rPr>
        <w:t xml:space="preserve"> </w:t>
      </w:r>
      <w:r w:rsidR="00C42B78">
        <w:rPr>
          <w:rtl/>
        </w:rPr>
        <w:t xml:space="preserve">לצורך הבהרת האופן שבו רשות התחרות מנתחת את התקיימות מבחני פטור הסוג </w:t>
      </w:r>
      <w:r w:rsidR="008D151A">
        <w:rPr>
          <w:rFonts w:hint="cs"/>
          <w:rtl/>
        </w:rPr>
        <w:t>האנכי ביחס</w:t>
      </w:r>
      <w:r w:rsidR="00C42B78">
        <w:rPr>
          <w:rtl/>
        </w:rPr>
        <w:t xml:space="preserve"> </w:t>
      </w:r>
      <w:r w:rsidR="008D151A">
        <w:rPr>
          <w:rFonts w:hint="cs"/>
          <w:rtl/>
        </w:rPr>
        <w:t>ל</w:t>
      </w:r>
      <w:r w:rsidR="00C42B78">
        <w:rPr>
          <w:rtl/>
        </w:rPr>
        <w:t xml:space="preserve">הסדרי </w:t>
      </w:r>
      <w:r w:rsidR="00C21DC7">
        <w:rPr>
          <w:rFonts w:hint="cs"/>
          <w:rtl/>
        </w:rPr>
        <w:t>הכתבת מחיר אנכית</w:t>
      </w:r>
      <w:r w:rsidR="00C42B78">
        <w:rPr>
          <w:rtl/>
        </w:rPr>
        <w:t>.</w:t>
      </w:r>
    </w:p>
    <w:p w14:paraId="6C7F9633" w14:textId="77777777" w:rsidR="00974AC3" w:rsidRPr="00E65A60" w:rsidRDefault="00974AC3" w:rsidP="007D543E">
      <w:pPr>
        <w:rPr>
          <w:rtl/>
        </w:rPr>
      </w:pPr>
    </w:p>
    <w:p w14:paraId="009DCF65" w14:textId="24506098" w:rsidR="008D7DF7" w:rsidRDefault="004F52C8" w:rsidP="00FC275E">
      <w:pPr>
        <w:rPr>
          <w:rtl/>
        </w:rPr>
      </w:pPr>
      <w:r>
        <w:rPr>
          <w:rFonts w:hint="cs"/>
          <w:b/>
          <w:bCs/>
          <w:rtl/>
        </w:rPr>
        <w:t>תוקף</w:t>
      </w:r>
    </w:p>
    <w:p w14:paraId="412A172E" w14:textId="77777777" w:rsidR="008D7DF7" w:rsidRDefault="008D7DF7" w:rsidP="008D7DF7">
      <w:r>
        <w:rPr>
          <w:rFonts w:hint="cs"/>
          <w:rtl/>
        </w:rPr>
        <w:t xml:space="preserve">מוצע לחדש את פטור הסוג לתקופה של 5 שנים וזאת לאור הניסיון שנצבר ברשות התחרות עד כה לפיו, למיטב הידיעה, </w:t>
      </w:r>
      <w:r w:rsidRPr="00CC4B65">
        <w:rPr>
          <w:rtl/>
        </w:rPr>
        <w:t>פטור הסוג אינו מעלה חששות לפגיעה בתחרות</w:t>
      </w:r>
      <w:r>
        <w:rPr>
          <w:rFonts w:hint="cs"/>
          <w:rtl/>
        </w:rPr>
        <w:t xml:space="preserve"> או בציבור.</w:t>
      </w:r>
    </w:p>
    <w:p w14:paraId="5F061A09" w14:textId="77777777" w:rsidR="00705762" w:rsidRPr="008D7DF7" w:rsidRDefault="00705762">
      <w:pPr>
        <w:rPr>
          <w:rtl/>
        </w:rPr>
      </w:pPr>
    </w:p>
    <w:p w14:paraId="0821C448" w14:textId="77777777" w:rsidR="004135B1" w:rsidRPr="00705762" w:rsidRDefault="004135B1"/>
    <w:sectPr w:rsidR="004135B1" w:rsidRPr="00705762" w:rsidSect="003A35C0">
      <w:pgSz w:w="11906" w:h="16838"/>
      <w:pgMar w:top="1701" w:right="1134" w:bottom="1417" w:left="1134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3C1E8F" w14:textId="77777777" w:rsidR="00AE0110" w:rsidRDefault="00AE0110" w:rsidP="00153312">
      <w:pPr>
        <w:spacing w:line="240" w:lineRule="auto"/>
      </w:pPr>
      <w:r>
        <w:separator/>
      </w:r>
    </w:p>
  </w:endnote>
  <w:endnote w:type="continuationSeparator" w:id="0">
    <w:p w14:paraId="62AAAE3E" w14:textId="77777777" w:rsidR="00AE0110" w:rsidRDefault="00AE0110" w:rsidP="001533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E0BDBE" w14:textId="77777777" w:rsidR="00AE0110" w:rsidRDefault="00AE0110" w:rsidP="00F2001B">
      <w:pPr>
        <w:spacing w:line="240" w:lineRule="auto"/>
        <w:ind w:left="0"/>
      </w:pPr>
      <w:r>
        <w:separator/>
      </w:r>
    </w:p>
  </w:footnote>
  <w:footnote w:type="continuationSeparator" w:id="0">
    <w:p w14:paraId="1D5C054F" w14:textId="77777777" w:rsidR="00AE0110" w:rsidRDefault="00AE0110" w:rsidP="00153312">
      <w:pPr>
        <w:spacing w:line="240" w:lineRule="auto"/>
      </w:pPr>
      <w:r>
        <w:continuationSeparator/>
      </w:r>
    </w:p>
  </w:footnote>
  <w:footnote w:id="1">
    <w:p w14:paraId="50343761" w14:textId="77777777" w:rsidR="0034368F" w:rsidRDefault="0034368F" w:rsidP="001D0B0A">
      <w:pPr>
        <w:pStyle w:val="FootnoteText"/>
        <w:jc w:val="both"/>
        <w:rPr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="000E6627">
        <w:rPr>
          <w:rFonts w:hint="cs"/>
          <w:rtl/>
        </w:rPr>
        <w:t>ס"ח</w:t>
      </w:r>
      <w:r>
        <w:rPr>
          <w:rFonts w:hint="cs"/>
          <w:rtl/>
        </w:rPr>
        <w:t xml:space="preserve"> התשמ"ח, עמ' 128; </w:t>
      </w:r>
      <w:r w:rsidR="00CC4B65">
        <w:rPr>
          <w:rFonts w:hint="cs"/>
          <w:rtl/>
        </w:rPr>
        <w:t xml:space="preserve">התש"ס, עמ' 113. </w:t>
      </w:r>
    </w:p>
  </w:footnote>
  <w:footnote w:id="2">
    <w:p w14:paraId="63D04438" w14:textId="0F4F02F2" w:rsidR="00354B0D" w:rsidRDefault="00354B0D" w:rsidP="001D0B0A">
      <w:pPr>
        <w:pStyle w:val="FootnoteText"/>
        <w:jc w:val="both"/>
        <w:rPr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ק"ת תשע"ג, עמ' 1549</w:t>
      </w:r>
      <w:r>
        <w:t>;</w:t>
      </w:r>
      <w:r>
        <w:rPr>
          <w:rFonts w:hint="cs"/>
          <w:rtl/>
        </w:rPr>
        <w:t xml:space="preserve"> ק"ת תשע"ו, עמ' 2255</w:t>
      </w:r>
      <w:r>
        <w:t>;</w:t>
      </w:r>
      <w:r>
        <w:rPr>
          <w:rFonts w:hint="cs"/>
          <w:rtl/>
        </w:rPr>
        <w:t xml:space="preserve"> ק"ת תשע"ח, עמ' 2470.</w:t>
      </w:r>
    </w:p>
  </w:footnote>
  <w:footnote w:id="3">
    <w:p w14:paraId="40CE5779" w14:textId="42D1E27E" w:rsidR="00344516" w:rsidRDefault="00344516" w:rsidP="001D0B0A">
      <w:pPr>
        <w:pStyle w:val="FootnoteText"/>
        <w:jc w:val="both"/>
        <w:rPr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 xml:space="preserve">לגילוי דעת הממונה על התחרות בדבר פרשנות תנאי זה בחוק ראו גילוי דעת 1/18 בעניין פרשנות סעיף 14(א)(2) וסעיף 15א(2) לחוק ההגבלים העסקיים, התשמ"ח-1988 (5.11.2018) </w:t>
      </w:r>
      <w:r>
        <w:rPr>
          <w:rFonts w:hint="cs"/>
          <w:b/>
          <w:bCs/>
          <w:rtl/>
        </w:rPr>
        <w:t xml:space="preserve">רשות התחרות </w:t>
      </w:r>
      <w:r>
        <w:rPr>
          <w:rFonts w:hint="cs"/>
          <w:rtl/>
        </w:rPr>
        <w:t xml:space="preserve"> </w:t>
      </w:r>
    </w:p>
  </w:footnote>
  <w:footnote w:id="4">
    <w:p w14:paraId="7273C6CA" w14:textId="6B5AB2D1" w:rsidR="00344516" w:rsidRDefault="00344516" w:rsidP="001D0B0A">
      <w:pPr>
        <w:pStyle w:val="FootnoteText"/>
        <w:jc w:val="both"/>
        <w:rPr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="00344B13">
        <w:rPr>
          <w:rFonts w:hint="cs"/>
          <w:rtl/>
        </w:rPr>
        <w:t>ראו סעיף 4א לכללי ההגבלים העסקיים (פטור סוג לכבילות נלוות למיזוגים)</w:t>
      </w:r>
      <w:r w:rsidR="006471C0">
        <w:rPr>
          <w:rFonts w:hint="cs"/>
          <w:rtl/>
        </w:rPr>
        <w:t xml:space="preserve"> (הוראת שעה)</w:t>
      </w:r>
      <w:r w:rsidR="00344B13">
        <w:rPr>
          <w:rFonts w:hint="cs"/>
          <w:rtl/>
        </w:rPr>
        <w:t>, תשס"ט-2009</w:t>
      </w:r>
      <w:r w:rsidR="009619C0">
        <w:rPr>
          <w:rFonts w:hint="cs"/>
          <w:rtl/>
        </w:rPr>
        <w:t>,</w:t>
      </w:r>
      <w:r w:rsidR="00344B13">
        <w:rPr>
          <w:rFonts w:hint="cs"/>
          <w:rtl/>
        </w:rPr>
        <w:t xml:space="preserve"> </w:t>
      </w:r>
      <w:r w:rsidR="006471C0">
        <w:rPr>
          <w:rFonts w:hint="cs"/>
          <w:rtl/>
        </w:rPr>
        <w:t>סעיף 2 לכללי ההגבלים העסקיים (פטור סוג להסדרים שעניינם ייצוא של ציוד בטחוני מחוץ למדינת ישראל) (הוראת שעה), התשע"ז-2017,סעיף 7א לכללי ההגבלים העסקיים (פטור סוג להסדרים בין מובילים באוויר) (מס' 2) (הוראת שעה), התשע"ד-2013, סעיף 9א לכללי ההגבלים העסקיים (פטור סוג למיזמים משותפים), התשס"ו-2006</w:t>
      </w:r>
      <w:r w:rsidR="00BC3300">
        <w:rPr>
          <w:rFonts w:hint="cs"/>
          <w:rtl/>
        </w:rPr>
        <w:t>.</w:t>
      </w:r>
      <w:r w:rsidR="006471C0">
        <w:rPr>
          <w:rFonts w:hint="cs"/>
          <w:rtl/>
        </w:rPr>
        <w:t xml:space="preserve">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49435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8A2EB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E00D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FD24B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91685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CA2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AEA33E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8CFF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F38A5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B852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6929B2"/>
    <w:multiLevelType w:val="hybridMultilevel"/>
    <w:tmpl w:val="76D444D4"/>
    <w:lvl w:ilvl="0" w:tplc="ACD4EAA4">
      <w:start w:val="1"/>
      <w:numFmt w:val="hebrew1"/>
      <w:lvlRestart w:val="0"/>
      <w:lvlText w:val="(%1)"/>
      <w:lvlJc w:val="left"/>
      <w:pPr>
        <w:tabs>
          <w:tab w:val="num" w:pos="624"/>
        </w:tabs>
        <w:ind w:left="0" w:firstLine="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972A86"/>
    <w:multiLevelType w:val="hybridMultilevel"/>
    <w:tmpl w:val="0D5028AE"/>
    <w:lvl w:ilvl="0" w:tplc="FB92B186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" w15:restartNumberingAfterBreak="0">
    <w:nsid w:val="1CB325F9"/>
    <w:multiLevelType w:val="hybridMultilevel"/>
    <w:tmpl w:val="1464834C"/>
    <w:lvl w:ilvl="0" w:tplc="C554C8A6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DD78F3"/>
    <w:multiLevelType w:val="hybridMultilevel"/>
    <w:tmpl w:val="9E4C4E42"/>
    <w:lvl w:ilvl="0" w:tplc="861C87C0">
      <w:start w:val="1"/>
      <w:numFmt w:val="decimal"/>
      <w:lvlText w:val="(%1)"/>
      <w:lvlJc w:val="left"/>
      <w:pPr>
        <w:tabs>
          <w:tab w:val="num" w:pos="624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683FCE"/>
    <w:multiLevelType w:val="hybridMultilevel"/>
    <w:tmpl w:val="EFEE0606"/>
    <w:lvl w:ilvl="0" w:tplc="1D34DA38">
      <w:start w:val="1"/>
      <w:numFmt w:val="hebrew1"/>
      <w:lvlRestart w:val="0"/>
      <w:lvlText w:val="(%1)"/>
      <w:lvlJc w:val="left"/>
      <w:pPr>
        <w:tabs>
          <w:tab w:val="num" w:pos="624"/>
        </w:tabs>
        <w:ind w:left="0" w:firstLine="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4832BE"/>
    <w:multiLevelType w:val="hybridMultilevel"/>
    <w:tmpl w:val="D9ECE078"/>
    <w:lvl w:ilvl="0" w:tplc="6BCAB224">
      <w:start w:val="1"/>
      <w:numFmt w:val="hebrew1"/>
      <w:lvlRestart w:val="0"/>
      <w:lvlText w:val="(%1)"/>
      <w:lvlJc w:val="left"/>
      <w:pPr>
        <w:tabs>
          <w:tab w:val="num" w:pos="624"/>
        </w:tabs>
        <w:ind w:left="0" w:firstLine="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5A2B35"/>
    <w:multiLevelType w:val="hybridMultilevel"/>
    <w:tmpl w:val="F61ADD04"/>
    <w:lvl w:ilvl="0" w:tplc="EFC26F30">
      <w:start w:val="1"/>
      <w:numFmt w:val="hebrew1"/>
      <w:pStyle w:val="Heading4"/>
      <w:suff w:val="space"/>
      <w:lvlText w:val="%1."/>
      <w:lvlJc w:val="left"/>
      <w:pPr>
        <w:ind w:left="0" w:firstLine="0"/>
      </w:pPr>
      <w:rPr>
        <w:rFonts w:hint="default"/>
      </w:rPr>
    </w:lvl>
    <w:lvl w:ilvl="1" w:tplc="D3D4E8B2">
      <w:start w:val="1"/>
      <w:numFmt w:val="decimal"/>
      <w:lvlText w:val="(%2)"/>
      <w:lvlJc w:val="left"/>
      <w:pPr>
        <w:tabs>
          <w:tab w:val="num" w:pos="624"/>
        </w:tabs>
        <w:ind w:left="0" w:firstLine="0"/>
      </w:pPr>
      <w:rPr>
        <w:rFonts w:hint="default"/>
      </w:rPr>
    </w:lvl>
    <w:lvl w:ilvl="2" w:tplc="5D2AB1E4">
      <w:start w:val="1"/>
      <w:numFmt w:val="hebrew1"/>
      <w:lvlText w:val="(%3)"/>
      <w:lvlJc w:val="left"/>
      <w:pPr>
        <w:tabs>
          <w:tab w:val="num" w:pos="624"/>
        </w:tabs>
        <w:ind w:left="0" w:firstLine="0"/>
      </w:pPr>
      <w:rPr>
        <w:rFonts w:hint="default"/>
      </w:rPr>
    </w:lvl>
    <w:lvl w:ilvl="3" w:tplc="1F820BA4">
      <w:start w:val="1"/>
      <w:numFmt w:val="hebrew1"/>
      <w:lvlRestart w:val="0"/>
      <w:lvlText w:val="(%4)"/>
      <w:lvlJc w:val="left"/>
      <w:pPr>
        <w:tabs>
          <w:tab w:val="num" w:pos="624"/>
        </w:tabs>
        <w:ind w:left="0" w:firstLine="0"/>
      </w:pPr>
      <w:rPr>
        <w:rFonts w:hint="default"/>
      </w:rPr>
    </w:lvl>
    <w:lvl w:ilvl="4" w:tplc="62C6E096">
      <w:start w:val="1"/>
      <w:numFmt w:val="decimal"/>
      <w:lvlRestart w:val="0"/>
      <w:lvlText w:val="(%5)"/>
      <w:lvlJc w:val="left"/>
      <w:pPr>
        <w:tabs>
          <w:tab w:val="num" w:pos="3864"/>
        </w:tabs>
        <w:ind w:left="3240" w:firstLine="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040655"/>
    <w:multiLevelType w:val="hybridMultilevel"/>
    <w:tmpl w:val="1D8837F0"/>
    <w:lvl w:ilvl="0" w:tplc="6DB66824">
      <w:start w:val="1"/>
      <w:numFmt w:val="hebrew1"/>
      <w:lvlRestart w:val="0"/>
      <w:lvlText w:val="(%1)"/>
      <w:lvlJc w:val="left"/>
      <w:pPr>
        <w:tabs>
          <w:tab w:val="num" w:pos="624"/>
        </w:tabs>
        <w:ind w:left="0" w:firstLine="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3B28B0"/>
    <w:multiLevelType w:val="hybridMultilevel"/>
    <w:tmpl w:val="41ACEA96"/>
    <w:lvl w:ilvl="0" w:tplc="06A8C010">
      <w:start w:val="1"/>
      <w:numFmt w:val="decimal"/>
      <w:pStyle w:val="TOC3"/>
      <w:lvlText w:val="%1."/>
      <w:lvlJc w:val="left"/>
      <w:pPr>
        <w:ind w:left="1287" w:hanging="360"/>
      </w:pPr>
      <w:rPr>
        <w:rFonts w:cs="David" w:hint="default"/>
        <w:bCs w:val="0"/>
        <w:iCs w:val="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C6F4C06"/>
    <w:multiLevelType w:val="hybridMultilevel"/>
    <w:tmpl w:val="A6D25086"/>
    <w:lvl w:ilvl="0" w:tplc="ECBEF3AC">
      <w:start w:val="1"/>
      <w:numFmt w:val="decimal"/>
      <w:lvlRestart w:val="0"/>
      <w:lvlText w:val="(%1)"/>
      <w:lvlJc w:val="left"/>
      <w:pPr>
        <w:tabs>
          <w:tab w:val="num" w:pos="624"/>
        </w:tabs>
        <w:ind w:left="0" w:firstLine="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C04768"/>
    <w:multiLevelType w:val="hybridMultilevel"/>
    <w:tmpl w:val="3A68FDC2"/>
    <w:lvl w:ilvl="0" w:tplc="5BFEA9EA">
      <w:start w:val="1"/>
      <w:numFmt w:val="decimal"/>
      <w:lvlRestart w:val="0"/>
      <w:lvlText w:val="(%1)"/>
      <w:lvlJc w:val="left"/>
      <w:pPr>
        <w:tabs>
          <w:tab w:val="num" w:pos="624"/>
        </w:tabs>
        <w:ind w:left="0" w:firstLine="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3C544D"/>
    <w:multiLevelType w:val="hybridMultilevel"/>
    <w:tmpl w:val="C7443990"/>
    <w:lvl w:ilvl="0" w:tplc="040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D3D4E8B2">
      <w:start w:val="1"/>
      <w:numFmt w:val="decimal"/>
      <w:lvlText w:val="(%2)"/>
      <w:lvlJc w:val="left"/>
      <w:pPr>
        <w:tabs>
          <w:tab w:val="num" w:pos="624"/>
        </w:tabs>
        <w:ind w:left="0" w:firstLine="0"/>
      </w:pPr>
      <w:rPr>
        <w:rFonts w:hint="default"/>
      </w:rPr>
    </w:lvl>
    <w:lvl w:ilvl="2" w:tplc="5D2AB1E4">
      <w:start w:val="1"/>
      <w:numFmt w:val="hebrew1"/>
      <w:lvlText w:val="(%3)"/>
      <w:lvlJc w:val="left"/>
      <w:pPr>
        <w:tabs>
          <w:tab w:val="num" w:pos="624"/>
        </w:tabs>
        <w:ind w:left="0" w:firstLine="0"/>
      </w:pPr>
      <w:rPr>
        <w:rFonts w:hint="default"/>
      </w:rPr>
    </w:lvl>
    <w:lvl w:ilvl="3" w:tplc="1F820BA4">
      <w:start w:val="1"/>
      <w:numFmt w:val="hebrew1"/>
      <w:lvlRestart w:val="0"/>
      <w:lvlText w:val="(%4)"/>
      <w:lvlJc w:val="left"/>
      <w:pPr>
        <w:tabs>
          <w:tab w:val="num" w:pos="624"/>
        </w:tabs>
        <w:ind w:left="0" w:firstLine="0"/>
      </w:pPr>
      <w:rPr>
        <w:rFonts w:hint="default"/>
      </w:rPr>
    </w:lvl>
    <w:lvl w:ilvl="4" w:tplc="62C6E096">
      <w:start w:val="1"/>
      <w:numFmt w:val="decimal"/>
      <w:lvlRestart w:val="0"/>
      <w:lvlText w:val="(%5)"/>
      <w:lvlJc w:val="left"/>
      <w:pPr>
        <w:tabs>
          <w:tab w:val="num" w:pos="3864"/>
        </w:tabs>
        <w:ind w:left="3240" w:firstLine="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813833"/>
    <w:multiLevelType w:val="hybridMultilevel"/>
    <w:tmpl w:val="92068260"/>
    <w:lvl w:ilvl="0" w:tplc="9C8AD86A">
      <w:start w:val="1"/>
      <w:numFmt w:val="decimal"/>
      <w:lvlRestart w:val="0"/>
      <w:lvlText w:val="(%1)"/>
      <w:lvlJc w:val="left"/>
      <w:pPr>
        <w:tabs>
          <w:tab w:val="num" w:pos="624"/>
        </w:tabs>
        <w:ind w:left="0" w:firstLine="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C858E4"/>
    <w:multiLevelType w:val="hybridMultilevel"/>
    <w:tmpl w:val="882C6ED4"/>
    <w:lvl w:ilvl="0" w:tplc="4112A21E">
      <w:start w:val="1"/>
      <w:numFmt w:val="hebrew1"/>
      <w:lvlRestart w:val="0"/>
      <w:lvlText w:val="(%1)"/>
      <w:lvlJc w:val="left"/>
      <w:pPr>
        <w:tabs>
          <w:tab w:val="num" w:pos="624"/>
        </w:tabs>
        <w:ind w:left="0" w:firstLine="0"/>
      </w:pPr>
      <w:rPr>
        <w:rFonts w:hint="default"/>
      </w:rPr>
    </w:lvl>
    <w:lvl w:ilvl="1" w:tplc="49082BE6">
      <w:start w:val="1"/>
      <w:numFmt w:val="decimal"/>
      <w:lvlRestart w:val="0"/>
      <w:lvlText w:val="(%2)"/>
      <w:lvlJc w:val="left"/>
      <w:pPr>
        <w:tabs>
          <w:tab w:val="num" w:pos="1704"/>
        </w:tabs>
        <w:ind w:left="1080" w:firstLine="0"/>
      </w:pPr>
      <w:rPr>
        <w:rFonts w:hint="default"/>
      </w:rPr>
    </w:lvl>
    <w:lvl w:ilvl="2" w:tplc="48C06176">
      <w:start w:val="1"/>
      <w:numFmt w:val="decimal"/>
      <w:lvlRestart w:val="0"/>
      <w:lvlText w:val="(%3)"/>
      <w:lvlJc w:val="left"/>
      <w:pPr>
        <w:tabs>
          <w:tab w:val="num" w:pos="2604"/>
        </w:tabs>
        <w:ind w:left="1980" w:firstLine="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1"/>
  </w:num>
  <w:num w:numId="5">
    <w:abstractNumId w:val="13"/>
  </w:num>
  <w:num w:numId="6">
    <w:abstractNumId w:val="23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6"/>
  </w:num>
  <w:num w:numId="17">
    <w:abstractNumId w:val="16"/>
    <w:lvlOverride w:ilvl="0">
      <w:startOverride w:val="1"/>
    </w:lvlOverride>
  </w:num>
  <w:num w:numId="18">
    <w:abstractNumId w:val="11"/>
  </w:num>
  <w:num w:numId="19">
    <w:abstractNumId w:val="18"/>
  </w:num>
  <w:num w:numId="20">
    <w:abstractNumId w:val="22"/>
  </w:num>
  <w:num w:numId="21">
    <w:abstractNumId w:val="19"/>
  </w:num>
  <w:num w:numId="22">
    <w:abstractNumId w:val="14"/>
  </w:num>
  <w:num w:numId="23">
    <w:abstractNumId w:val="20"/>
  </w:num>
  <w:num w:numId="24">
    <w:abstractNumId w:val="15"/>
  </w:num>
  <w:num w:numId="25">
    <w:abstractNumId w:val="17"/>
  </w:num>
  <w:num w:numId="26">
    <w:abstractNumId w:val="10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5C0"/>
    <w:rsid w:val="00044BB8"/>
    <w:rsid w:val="00085DDD"/>
    <w:rsid w:val="000B3AD0"/>
    <w:rsid w:val="000C2A29"/>
    <w:rsid w:val="000C3936"/>
    <w:rsid w:val="000E583D"/>
    <w:rsid w:val="000E6627"/>
    <w:rsid w:val="000F6FFE"/>
    <w:rsid w:val="00102867"/>
    <w:rsid w:val="0011103E"/>
    <w:rsid w:val="00115F17"/>
    <w:rsid w:val="00130DF3"/>
    <w:rsid w:val="001378AE"/>
    <w:rsid w:val="00141020"/>
    <w:rsid w:val="00153312"/>
    <w:rsid w:val="00172291"/>
    <w:rsid w:val="00187458"/>
    <w:rsid w:val="001A2EF7"/>
    <w:rsid w:val="001A6E3E"/>
    <w:rsid w:val="001B3826"/>
    <w:rsid w:val="001B6E44"/>
    <w:rsid w:val="001C0B18"/>
    <w:rsid w:val="001C2B77"/>
    <w:rsid w:val="001C6153"/>
    <w:rsid w:val="001D0B0A"/>
    <w:rsid w:val="001F029A"/>
    <w:rsid w:val="001F5EA4"/>
    <w:rsid w:val="00230584"/>
    <w:rsid w:val="00233C6E"/>
    <w:rsid w:val="00235BD6"/>
    <w:rsid w:val="00240700"/>
    <w:rsid w:val="002539D7"/>
    <w:rsid w:val="00265ABD"/>
    <w:rsid w:val="00267192"/>
    <w:rsid w:val="002810C3"/>
    <w:rsid w:val="00286F55"/>
    <w:rsid w:val="002A67C0"/>
    <w:rsid w:val="002C23BC"/>
    <w:rsid w:val="002C287B"/>
    <w:rsid w:val="002C3CAB"/>
    <w:rsid w:val="002C5106"/>
    <w:rsid w:val="002C55E7"/>
    <w:rsid w:val="002D49B5"/>
    <w:rsid w:val="002E331F"/>
    <w:rsid w:val="002E3DB1"/>
    <w:rsid w:val="002F1272"/>
    <w:rsid w:val="00304863"/>
    <w:rsid w:val="00310099"/>
    <w:rsid w:val="00322D60"/>
    <w:rsid w:val="00334853"/>
    <w:rsid w:val="003431A9"/>
    <w:rsid w:val="0034368F"/>
    <w:rsid w:val="00344516"/>
    <w:rsid w:val="00344B13"/>
    <w:rsid w:val="003471DF"/>
    <w:rsid w:val="00354B0D"/>
    <w:rsid w:val="00371E07"/>
    <w:rsid w:val="00397C7B"/>
    <w:rsid w:val="003A35C0"/>
    <w:rsid w:val="003C7FF1"/>
    <w:rsid w:val="003F6F53"/>
    <w:rsid w:val="004135B1"/>
    <w:rsid w:val="00414BF0"/>
    <w:rsid w:val="00416B8A"/>
    <w:rsid w:val="00421CAC"/>
    <w:rsid w:val="00432AC5"/>
    <w:rsid w:val="00440416"/>
    <w:rsid w:val="004419EC"/>
    <w:rsid w:val="00444BB9"/>
    <w:rsid w:val="004B277F"/>
    <w:rsid w:val="004B4DA9"/>
    <w:rsid w:val="004D07F2"/>
    <w:rsid w:val="004D775C"/>
    <w:rsid w:val="004F52C8"/>
    <w:rsid w:val="00501382"/>
    <w:rsid w:val="00502B7A"/>
    <w:rsid w:val="0051257C"/>
    <w:rsid w:val="005229C6"/>
    <w:rsid w:val="00527CE0"/>
    <w:rsid w:val="00544DDA"/>
    <w:rsid w:val="005549E7"/>
    <w:rsid w:val="00556FD8"/>
    <w:rsid w:val="00565648"/>
    <w:rsid w:val="005704BF"/>
    <w:rsid w:val="005709DC"/>
    <w:rsid w:val="005863E8"/>
    <w:rsid w:val="00594075"/>
    <w:rsid w:val="005B04A7"/>
    <w:rsid w:val="005B6F37"/>
    <w:rsid w:val="005C1EA0"/>
    <w:rsid w:val="005D0997"/>
    <w:rsid w:val="005D3F8F"/>
    <w:rsid w:val="005D6A11"/>
    <w:rsid w:val="005E7CCC"/>
    <w:rsid w:val="005F05CA"/>
    <w:rsid w:val="00604D0F"/>
    <w:rsid w:val="00606926"/>
    <w:rsid w:val="00625617"/>
    <w:rsid w:val="006329DE"/>
    <w:rsid w:val="006471C0"/>
    <w:rsid w:val="0065207D"/>
    <w:rsid w:val="0065585A"/>
    <w:rsid w:val="0065797C"/>
    <w:rsid w:val="00657A77"/>
    <w:rsid w:val="00662ED4"/>
    <w:rsid w:val="006642BE"/>
    <w:rsid w:val="006660FA"/>
    <w:rsid w:val="00671D29"/>
    <w:rsid w:val="00672FB4"/>
    <w:rsid w:val="00684C2B"/>
    <w:rsid w:val="00691245"/>
    <w:rsid w:val="006A5100"/>
    <w:rsid w:val="006B1CDF"/>
    <w:rsid w:val="006C1832"/>
    <w:rsid w:val="006D403F"/>
    <w:rsid w:val="006F3DFA"/>
    <w:rsid w:val="006F4505"/>
    <w:rsid w:val="0070495E"/>
    <w:rsid w:val="00704B33"/>
    <w:rsid w:val="00705762"/>
    <w:rsid w:val="00706D5C"/>
    <w:rsid w:val="00734F58"/>
    <w:rsid w:val="00740470"/>
    <w:rsid w:val="00740B86"/>
    <w:rsid w:val="0076295C"/>
    <w:rsid w:val="00775E48"/>
    <w:rsid w:val="007779D9"/>
    <w:rsid w:val="007815AF"/>
    <w:rsid w:val="00782BDE"/>
    <w:rsid w:val="007859E4"/>
    <w:rsid w:val="0079386D"/>
    <w:rsid w:val="007A1E34"/>
    <w:rsid w:val="007A2CB6"/>
    <w:rsid w:val="007D0B53"/>
    <w:rsid w:val="007D307A"/>
    <w:rsid w:val="007D543E"/>
    <w:rsid w:val="007F4C33"/>
    <w:rsid w:val="00851026"/>
    <w:rsid w:val="00861F79"/>
    <w:rsid w:val="00865CB7"/>
    <w:rsid w:val="008739AA"/>
    <w:rsid w:val="008A1603"/>
    <w:rsid w:val="008A4C90"/>
    <w:rsid w:val="008B73BD"/>
    <w:rsid w:val="008C120B"/>
    <w:rsid w:val="008C74C5"/>
    <w:rsid w:val="008D151A"/>
    <w:rsid w:val="008D7DF7"/>
    <w:rsid w:val="0091736A"/>
    <w:rsid w:val="009433F4"/>
    <w:rsid w:val="009619C0"/>
    <w:rsid w:val="00964E02"/>
    <w:rsid w:val="00971C5F"/>
    <w:rsid w:val="00974AC3"/>
    <w:rsid w:val="00977415"/>
    <w:rsid w:val="00985022"/>
    <w:rsid w:val="009A2FF6"/>
    <w:rsid w:val="009B735E"/>
    <w:rsid w:val="009D6AF9"/>
    <w:rsid w:val="009E0B90"/>
    <w:rsid w:val="009F1541"/>
    <w:rsid w:val="009F32FE"/>
    <w:rsid w:val="00A043CC"/>
    <w:rsid w:val="00A109ED"/>
    <w:rsid w:val="00A639A0"/>
    <w:rsid w:val="00A72E1E"/>
    <w:rsid w:val="00A750DA"/>
    <w:rsid w:val="00A80F46"/>
    <w:rsid w:val="00A91778"/>
    <w:rsid w:val="00A94893"/>
    <w:rsid w:val="00AB796A"/>
    <w:rsid w:val="00AC11D2"/>
    <w:rsid w:val="00AC3A13"/>
    <w:rsid w:val="00AE0110"/>
    <w:rsid w:val="00B17AC5"/>
    <w:rsid w:val="00B62E3D"/>
    <w:rsid w:val="00B65006"/>
    <w:rsid w:val="00B700D2"/>
    <w:rsid w:val="00B80E80"/>
    <w:rsid w:val="00B81B1C"/>
    <w:rsid w:val="00B81DDE"/>
    <w:rsid w:val="00B96EA8"/>
    <w:rsid w:val="00BA3935"/>
    <w:rsid w:val="00BC3300"/>
    <w:rsid w:val="00BF531C"/>
    <w:rsid w:val="00C02BDD"/>
    <w:rsid w:val="00C0306D"/>
    <w:rsid w:val="00C21DC7"/>
    <w:rsid w:val="00C2288F"/>
    <w:rsid w:val="00C34393"/>
    <w:rsid w:val="00C375E3"/>
    <w:rsid w:val="00C42B78"/>
    <w:rsid w:val="00C90E56"/>
    <w:rsid w:val="00C93965"/>
    <w:rsid w:val="00C950CE"/>
    <w:rsid w:val="00CA2C52"/>
    <w:rsid w:val="00CA76D4"/>
    <w:rsid w:val="00CC4B65"/>
    <w:rsid w:val="00CD3211"/>
    <w:rsid w:val="00CD34DB"/>
    <w:rsid w:val="00CD60A7"/>
    <w:rsid w:val="00CD7320"/>
    <w:rsid w:val="00CF6A56"/>
    <w:rsid w:val="00CF795A"/>
    <w:rsid w:val="00D02B25"/>
    <w:rsid w:val="00D058A0"/>
    <w:rsid w:val="00D05AA0"/>
    <w:rsid w:val="00D12397"/>
    <w:rsid w:val="00D2141C"/>
    <w:rsid w:val="00D2360F"/>
    <w:rsid w:val="00D25D99"/>
    <w:rsid w:val="00D26214"/>
    <w:rsid w:val="00D26FA2"/>
    <w:rsid w:val="00D465B0"/>
    <w:rsid w:val="00D4798B"/>
    <w:rsid w:val="00D52528"/>
    <w:rsid w:val="00D606C6"/>
    <w:rsid w:val="00D718C5"/>
    <w:rsid w:val="00DA5591"/>
    <w:rsid w:val="00DA5B85"/>
    <w:rsid w:val="00DC1C26"/>
    <w:rsid w:val="00DC6B56"/>
    <w:rsid w:val="00DC79D6"/>
    <w:rsid w:val="00DD31B7"/>
    <w:rsid w:val="00DD7CCB"/>
    <w:rsid w:val="00DE205F"/>
    <w:rsid w:val="00DF3CD7"/>
    <w:rsid w:val="00E33B89"/>
    <w:rsid w:val="00E35413"/>
    <w:rsid w:val="00E366D8"/>
    <w:rsid w:val="00E37644"/>
    <w:rsid w:val="00E52CE9"/>
    <w:rsid w:val="00E65A60"/>
    <w:rsid w:val="00E82F2F"/>
    <w:rsid w:val="00E95BDD"/>
    <w:rsid w:val="00EA683A"/>
    <w:rsid w:val="00EB3740"/>
    <w:rsid w:val="00ED2DA9"/>
    <w:rsid w:val="00ED3397"/>
    <w:rsid w:val="00ED3C67"/>
    <w:rsid w:val="00ED6054"/>
    <w:rsid w:val="00ED7659"/>
    <w:rsid w:val="00EF59CB"/>
    <w:rsid w:val="00F12154"/>
    <w:rsid w:val="00F2001B"/>
    <w:rsid w:val="00F26693"/>
    <w:rsid w:val="00F33890"/>
    <w:rsid w:val="00F573EC"/>
    <w:rsid w:val="00F61F3C"/>
    <w:rsid w:val="00F70319"/>
    <w:rsid w:val="00F74CEC"/>
    <w:rsid w:val="00F810F5"/>
    <w:rsid w:val="00F94817"/>
    <w:rsid w:val="00FA200F"/>
    <w:rsid w:val="00FB6796"/>
    <w:rsid w:val="00FB6DE8"/>
    <w:rsid w:val="00FC275E"/>
    <w:rsid w:val="00FC6A5F"/>
    <w:rsid w:val="00FD09FE"/>
    <w:rsid w:val="00FE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FB61DA"/>
  <w15:chartTrackingRefBased/>
  <w15:docId w15:val="{4E41FBFF-964E-4E5F-8FB6-ED934000E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3C6E"/>
    <w:pPr>
      <w:widowControl w:val="0"/>
      <w:bidi/>
      <w:spacing w:after="0" w:line="360" w:lineRule="auto"/>
      <w:ind w:left="340"/>
      <w:contextualSpacing/>
      <w:jc w:val="both"/>
    </w:pPr>
    <w:rPr>
      <w:rFonts w:ascii="David" w:hAnsi="David" w:cs="David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3C6E"/>
    <w:pPr>
      <w:keepNext/>
      <w:keepLines/>
      <w:spacing w:before="240"/>
      <w:jc w:val="center"/>
      <w:outlineLvl w:val="0"/>
    </w:pPr>
    <w:rPr>
      <w:rFonts w:asciiTheme="majorHAnsi" w:eastAsiaTheme="majorEastAsia" w:hAnsiTheme="majorHAnsi"/>
      <w:bCs/>
      <w:sz w:val="32"/>
      <w:szCs w:val="36"/>
    </w:rPr>
  </w:style>
  <w:style w:type="paragraph" w:styleId="Heading2">
    <w:name w:val="heading 2"/>
    <w:basedOn w:val="Normal"/>
    <w:next w:val="Normal"/>
    <w:link w:val="Heading2Char"/>
    <w:unhideWhenUsed/>
    <w:qFormat/>
    <w:rsid w:val="00233C6E"/>
    <w:pPr>
      <w:ind w:left="0"/>
      <w:jc w:val="left"/>
      <w:outlineLvl w:val="1"/>
    </w:pPr>
    <w:rPr>
      <w:rFonts w:asciiTheme="majorHAnsi" w:eastAsiaTheme="majorEastAsia" w:hAnsiTheme="majorHAnsi"/>
      <w:bCs/>
      <w:sz w:val="26"/>
      <w:szCs w:val="36"/>
      <w:u w:val="single"/>
    </w:rPr>
  </w:style>
  <w:style w:type="paragraph" w:styleId="Heading3">
    <w:name w:val="heading 3"/>
    <w:basedOn w:val="Normal"/>
    <w:next w:val="Normal"/>
    <w:link w:val="Heading3Char"/>
    <w:unhideWhenUsed/>
    <w:qFormat/>
    <w:rsid w:val="00233C6E"/>
    <w:pPr>
      <w:spacing w:before="40"/>
      <w:ind w:left="0"/>
      <w:jc w:val="left"/>
      <w:outlineLvl w:val="2"/>
    </w:pPr>
    <w:rPr>
      <w:rFonts w:asciiTheme="majorHAnsi" w:eastAsiaTheme="majorEastAsia" w:hAnsiTheme="majorHAnsi"/>
      <w:szCs w:val="28"/>
      <w:u w:val="doubl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33C6E"/>
    <w:pPr>
      <w:numPr>
        <w:numId w:val="1"/>
      </w:numPr>
      <w:spacing w:before="40" w:after="120"/>
      <w:outlineLvl w:val="3"/>
    </w:pPr>
    <w:rPr>
      <w:b/>
      <w:bCs/>
      <w:color w:val="000000" w:themeColor="text1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33C6E"/>
    <w:pPr>
      <w:spacing w:line="259" w:lineRule="auto"/>
      <w:outlineLvl w:val="4"/>
    </w:pPr>
    <w:rPr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3C6E"/>
    <w:rPr>
      <w:rFonts w:asciiTheme="majorHAnsi" w:eastAsiaTheme="majorEastAsia" w:hAnsiTheme="majorHAnsi" w:cs="David"/>
      <w:bCs/>
      <w:sz w:val="32"/>
      <w:szCs w:val="36"/>
    </w:rPr>
  </w:style>
  <w:style w:type="character" w:customStyle="1" w:styleId="Heading4Char">
    <w:name w:val="Heading 4 Char"/>
    <w:basedOn w:val="DefaultParagraphFont"/>
    <w:link w:val="Heading4"/>
    <w:uiPriority w:val="9"/>
    <w:rsid w:val="00233C6E"/>
    <w:rPr>
      <w:rFonts w:ascii="David" w:hAnsi="David" w:cs="David"/>
      <w:b/>
      <w:bCs/>
      <w:color w:val="000000" w:themeColor="text1"/>
      <w:sz w:val="24"/>
      <w:szCs w:val="28"/>
    </w:rPr>
  </w:style>
  <w:style w:type="paragraph" w:customStyle="1" w:styleId="TableText">
    <w:name w:val="Table Text"/>
    <w:basedOn w:val="Normal"/>
    <w:rsid w:val="00233C6E"/>
    <w:pPr>
      <w:keepLines/>
      <w:tabs>
        <w:tab w:val="left" w:pos="624"/>
        <w:tab w:val="left" w:pos="1247"/>
      </w:tabs>
      <w:snapToGrid w:val="0"/>
      <w:ind w:left="0"/>
      <w:jc w:val="left"/>
    </w:pPr>
    <w:rPr>
      <w:rFonts w:ascii="Arial" w:eastAsia="Arial Unicode MS" w:hAnsi="Arial"/>
      <w:snapToGrid w:val="0"/>
      <w:sz w:val="20"/>
      <w:szCs w:val="26"/>
    </w:rPr>
  </w:style>
  <w:style w:type="paragraph" w:customStyle="1" w:styleId="TableSideHeading">
    <w:name w:val="Table SideHeading"/>
    <w:basedOn w:val="TableText"/>
    <w:rsid w:val="00233C6E"/>
    <w:pPr>
      <w:outlineLvl w:val="2"/>
    </w:pPr>
  </w:style>
  <w:style w:type="paragraph" w:customStyle="1" w:styleId="TableBlock">
    <w:name w:val="Table Block"/>
    <w:basedOn w:val="TableText"/>
    <w:rsid w:val="00233C6E"/>
    <w:pPr>
      <w:jc w:val="both"/>
    </w:pPr>
  </w:style>
  <w:style w:type="paragraph" w:customStyle="1" w:styleId="TableHead">
    <w:name w:val="Table Head"/>
    <w:basedOn w:val="TableText"/>
    <w:rsid w:val="00233C6E"/>
    <w:pPr>
      <w:jc w:val="center"/>
      <w:outlineLvl w:val="1"/>
    </w:pPr>
    <w:rPr>
      <w:b/>
      <w:bCs/>
    </w:rPr>
  </w:style>
  <w:style w:type="paragraph" w:customStyle="1" w:styleId="HeadMitparsemetBaze">
    <w:name w:val="Head MitparsemetBaze"/>
    <w:basedOn w:val="Normal"/>
    <w:rsid w:val="00233C6E"/>
    <w:pPr>
      <w:keepNext/>
      <w:keepLines/>
      <w:pageBreakBefore/>
      <w:snapToGrid w:val="0"/>
      <w:spacing w:before="480"/>
    </w:pPr>
    <w:rPr>
      <w:rFonts w:ascii="Arial" w:eastAsia="Arial Unicode MS" w:hAnsi="Arial"/>
      <w:b/>
      <w:bCs/>
      <w:snapToGrid w:val="0"/>
      <w:sz w:val="20"/>
      <w:szCs w:val="26"/>
    </w:rPr>
  </w:style>
  <w:style w:type="paragraph" w:customStyle="1" w:styleId="HeadHatzaotHok">
    <w:name w:val="Head HatzaotHok"/>
    <w:basedOn w:val="Normal"/>
    <w:rsid w:val="00233C6E"/>
    <w:pPr>
      <w:keepNext/>
      <w:keepLines/>
      <w:snapToGrid w:val="0"/>
      <w:spacing w:before="240"/>
      <w:jc w:val="center"/>
      <w:outlineLvl w:val="0"/>
    </w:pPr>
    <w:rPr>
      <w:rFonts w:ascii="Arial" w:eastAsia="Arial Unicode MS" w:hAnsi="Arial"/>
      <w:b/>
      <w:bCs/>
      <w:snapToGrid w:val="0"/>
      <w:sz w:val="20"/>
      <w:szCs w:val="26"/>
    </w:rPr>
  </w:style>
  <w:style w:type="paragraph" w:customStyle="1" w:styleId="HeadDivreiHesber">
    <w:name w:val="Head DivreiHesber"/>
    <w:basedOn w:val="Normal"/>
    <w:rsid w:val="00233C6E"/>
    <w:pPr>
      <w:snapToGrid w:val="0"/>
      <w:spacing w:before="360" w:after="120"/>
      <w:jc w:val="center"/>
      <w:outlineLvl w:val="1"/>
    </w:pPr>
    <w:rPr>
      <w:rFonts w:ascii="Arial" w:eastAsia="Arial Unicode MS" w:hAnsi="Arial"/>
      <w:b/>
      <w:snapToGrid w:val="0"/>
      <w:spacing w:val="40"/>
      <w:sz w:val="20"/>
      <w:szCs w:val="26"/>
    </w:rPr>
  </w:style>
  <w:style w:type="character" w:customStyle="1" w:styleId="Heading2Char">
    <w:name w:val="Heading 2 Char"/>
    <w:basedOn w:val="DefaultParagraphFont"/>
    <w:link w:val="Heading2"/>
    <w:rsid w:val="00233C6E"/>
    <w:rPr>
      <w:rFonts w:asciiTheme="majorHAnsi" w:eastAsiaTheme="majorEastAsia" w:hAnsiTheme="majorHAnsi" w:cs="David"/>
      <w:bCs/>
      <w:sz w:val="26"/>
      <w:szCs w:val="36"/>
      <w:u w:val="single"/>
    </w:rPr>
  </w:style>
  <w:style w:type="character" w:customStyle="1" w:styleId="Heading3Char">
    <w:name w:val="Heading 3 Char"/>
    <w:basedOn w:val="DefaultParagraphFont"/>
    <w:link w:val="Heading3"/>
    <w:rsid w:val="00233C6E"/>
    <w:rPr>
      <w:rFonts w:asciiTheme="majorHAnsi" w:eastAsiaTheme="majorEastAsia" w:hAnsiTheme="majorHAnsi" w:cs="David"/>
      <w:sz w:val="24"/>
      <w:szCs w:val="28"/>
      <w:u w:val="double"/>
    </w:rPr>
  </w:style>
  <w:style w:type="character" w:customStyle="1" w:styleId="Heading5Char">
    <w:name w:val="Heading 5 Char"/>
    <w:basedOn w:val="DefaultParagraphFont"/>
    <w:link w:val="Heading5"/>
    <w:uiPriority w:val="9"/>
    <w:rsid w:val="00233C6E"/>
    <w:rPr>
      <w:rFonts w:ascii="David" w:hAnsi="David" w:cs="David"/>
      <w:color w:val="000000" w:themeColor="text1"/>
      <w:sz w:val="24"/>
      <w:szCs w:val="24"/>
    </w:rPr>
  </w:style>
  <w:style w:type="paragraph" w:customStyle="1" w:styleId="HeadHatzaotHok4Futer">
    <w:name w:val="Head HatzaotHok4Futer"/>
    <w:basedOn w:val="HeadHatzaotHok"/>
    <w:rsid w:val="00233C6E"/>
    <w:pPr>
      <w:spacing w:before="120" w:after="120"/>
    </w:pPr>
    <w:rPr>
      <w:color w:val="FF0000"/>
      <w:w w:val="80"/>
    </w:rPr>
  </w:style>
  <w:style w:type="paragraph" w:styleId="EndnoteText">
    <w:name w:val="endnote text"/>
    <w:basedOn w:val="Normal"/>
    <w:link w:val="EndnoteTextChar"/>
    <w:semiHidden/>
    <w:rsid w:val="00233C6E"/>
    <w:pPr>
      <w:ind w:left="227" w:hanging="227"/>
    </w:pPr>
    <w:rPr>
      <w:sz w:val="14"/>
      <w:szCs w:val="22"/>
    </w:rPr>
  </w:style>
  <w:style w:type="character" w:customStyle="1" w:styleId="EndnoteTextChar">
    <w:name w:val="Endnote Text Char"/>
    <w:basedOn w:val="DefaultParagraphFont"/>
    <w:link w:val="EndnoteText"/>
    <w:semiHidden/>
    <w:rsid w:val="003A35C0"/>
    <w:rPr>
      <w:rFonts w:ascii="David" w:hAnsi="David" w:cs="David"/>
      <w:sz w:val="14"/>
    </w:rPr>
  </w:style>
  <w:style w:type="paragraph" w:customStyle="1" w:styleId="TableInnerSideHeading">
    <w:name w:val="Table InnerSideHeading"/>
    <w:basedOn w:val="TableSideHeading"/>
    <w:rsid w:val="00233C6E"/>
    <w:pPr>
      <w:outlineLvl w:val="9"/>
    </w:pPr>
  </w:style>
  <w:style w:type="paragraph" w:customStyle="1" w:styleId="Hesber">
    <w:name w:val="Hesber"/>
    <w:basedOn w:val="Normal"/>
    <w:rsid w:val="00233C6E"/>
    <w:pPr>
      <w:snapToGrid w:val="0"/>
      <w:ind w:left="0" w:firstLine="340"/>
    </w:pPr>
    <w:rPr>
      <w:rFonts w:ascii="Arial" w:eastAsia="Arial Unicode MS" w:hAnsi="Arial"/>
      <w:snapToGrid w:val="0"/>
      <w:sz w:val="20"/>
      <w:szCs w:val="26"/>
    </w:rPr>
  </w:style>
  <w:style w:type="paragraph" w:styleId="FootnoteText">
    <w:name w:val="footnote text"/>
    <w:basedOn w:val="Normal"/>
    <w:link w:val="FootnoteTextChar"/>
    <w:autoRedefine/>
    <w:semiHidden/>
    <w:rsid w:val="00233C6E"/>
    <w:pPr>
      <w:snapToGrid w:val="0"/>
      <w:spacing w:line="240" w:lineRule="auto"/>
      <w:ind w:left="0"/>
      <w:jc w:val="left"/>
    </w:pPr>
    <w:rPr>
      <w:rFonts w:ascii="Arial" w:eastAsia="Arial Unicode MS" w:hAnsi="Arial"/>
      <w:snapToGrid w:val="0"/>
      <w:sz w:val="14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A35C0"/>
    <w:rPr>
      <w:rFonts w:ascii="Arial" w:eastAsia="Arial Unicode MS" w:hAnsi="Arial" w:cs="David"/>
      <w:snapToGrid w:val="0"/>
      <w:sz w:val="14"/>
      <w:szCs w:val="20"/>
    </w:rPr>
  </w:style>
  <w:style w:type="character" w:styleId="FootnoteReference">
    <w:name w:val="footnote reference"/>
    <w:basedOn w:val="DefaultParagraphFont"/>
    <w:semiHidden/>
    <w:rsid w:val="00233C6E"/>
    <w:rPr>
      <w:vertAlign w:val="superscript"/>
    </w:rPr>
  </w:style>
  <w:style w:type="paragraph" w:customStyle="1" w:styleId="HesberHeading">
    <w:name w:val="Hesber Heading"/>
    <w:basedOn w:val="Hesber"/>
    <w:rsid w:val="00233C6E"/>
    <w:pPr>
      <w:tabs>
        <w:tab w:val="left" w:pos="624"/>
        <w:tab w:val="left" w:pos="1247"/>
      </w:tabs>
    </w:pPr>
    <w:rPr>
      <w:b/>
      <w:bCs/>
    </w:rPr>
  </w:style>
  <w:style w:type="paragraph" w:customStyle="1" w:styleId="HesberWriters">
    <w:name w:val="Hesber Writers"/>
    <w:basedOn w:val="Hesber"/>
    <w:rsid w:val="00233C6E"/>
    <w:pPr>
      <w:spacing w:before="120" w:after="120"/>
      <w:ind w:left="1418"/>
      <w:jc w:val="right"/>
    </w:pPr>
    <w:rPr>
      <w:b/>
      <w:bCs/>
    </w:rPr>
  </w:style>
  <w:style w:type="paragraph" w:customStyle="1" w:styleId="Hesber1st">
    <w:name w:val="Hesber 1st"/>
    <w:basedOn w:val="Hesber"/>
    <w:rsid w:val="00233C6E"/>
    <w:pPr>
      <w:tabs>
        <w:tab w:val="left" w:pos="680"/>
        <w:tab w:val="left" w:pos="1020"/>
      </w:tabs>
      <w:ind w:firstLine="0"/>
    </w:pPr>
  </w:style>
  <w:style w:type="character" w:styleId="EndnoteReference">
    <w:name w:val="endnote reference"/>
    <w:basedOn w:val="DefaultParagraphFont"/>
    <w:semiHidden/>
    <w:rsid w:val="00233C6E"/>
    <w:rPr>
      <w:vertAlign w:val="superscript"/>
    </w:rPr>
  </w:style>
  <w:style w:type="paragraph" w:customStyle="1" w:styleId="TableBlockOutdent">
    <w:name w:val="Table BlockOutdent"/>
    <w:basedOn w:val="TableBlock"/>
    <w:rsid w:val="00233C6E"/>
    <w:pPr>
      <w:ind w:left="624" w:hanging="624"/>
    </w:pPr>
  </w:style>
  <w:style w:type="paragraph" w:styleId="Header">
    <w:name w:val="header"/>
    <w:basedOn w:val="Normal"/>
    <w:link w:val="HeaderChar"/>
    <w:rsid w:val="00233C6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A35C0"/>
    <w:rPr>
      <w:rFonts w:ascii="David" w:hAnsi="David" w:cs="David"/>
      <w:sz w:val="24"/>
      <w:szCs w:val="24"/>
    </w:rPr>
  </w:style>
  <w:style w:type="paragraph" w:styleId="Footer">
    <w:name w:val="footer"/>
    <w:basedOn w:val="Normal"/>
    <w:link w:val="FooterChar"/>
    <w:rsid w:val="00233C6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3A35C0"/>
    <w:rPr>
      <w:rFonts w:ascii="David" w:hAnsi="David" w:cs="David"/>
      <w:sz w:val="24"/>
      <w:szCs w:val="24"/>
    </w:rPr>
  </w:style>
  <w:style w:type="character" w:styleId="PageNumber">
    <w:name w:val="page number"/>
    <w:basedOn w:val="DefaultParagraphFont"/>
    <w:rsid w:val="00233C6E"/>
  </w:style>
  <w:style w:type="paragraph" w:customStyle="1" w:styleId="Cover1-Reshumot">
    <w:name w:val="Cover 1-Reshumot"/>
    <w:basedOn w:val="Normal"/>
    <w:rsid w:val="00233C6E"/>
    <w:pPr>
      <w:tabs>
        <w:tab w:val="left" w:pos="1191"/>
        <w:tab w:val="left" w:pos="1587"/>
      </w:tabs>
      <w:snapToGrid w:val="0"/>
      <w:spacing w:before="240" w:after="240" w:line="480" w:lineRule="auto"/>
      <w:jc w:val="center"/>
    </w:pPr>
    <w:rPr>
      <w:rFonts w:ascii="Arial" w:eastAsia="Arial Unicode MS" w:hAnsi="Arial"/>
      <w:snapToGrid w:val="0"/>
      <w:sz w:val="20"/>
      <w:szCs w:val="26"/>
    </w:rPr>
  </w:style>
  <w:style w:type="paragraph" w:customStyle="1" w:styleId="Cover2-HatzaotHok">
    <w:name w:val="Cover 2-HatzaotHok"/>
    <w:basedOn w:val="Cover1-Reshumot"/>
    <w:rsid w:val="00233C6E"/>
    <w:rPr>
      <w:sz w:val="36"/>
      <w:szCs w:val="52"/>
    </w:rPr>
  </w:style>
  <w:style w:type="paragraph" w:customStyle="1" w:styleId="Cover3-Haknesset">
    <w:name w:val="Cover 3-Haknesset"/>
    <w:basedOn w:val="Cover1-Reshumot"/>
    <w:rsid w:val="00233C6E"/>
    <w:rPr>
      <w:b/>
      <w:bCs/>
      <w:spacing w:val="60"/>
    </w:rPr>
  </w:style>
  <w:style w:type="paragraph" w:customStyle="1" w:styleId="Cover4-Date">
    <w:name w:val="Cover 4-Date"/>
    <w:basedOn w:val="Normal"/>
    <w:rsid w:val="00233C6E"/>
    <w:pPr>
      <w:pBdr>
        <w:bottom w:val="single" w:sz="4" w:space="0" w:color="auto"/>
      </w:pBdr>
      <w:tabs>
        <w:tab w:val="center" w:pos="4820"/>
        <w:tab w:val="right" w:pos="9639"/>
      </w:tabs>
      <w:snapToGrid w:val="0"/>
      <w:spacing w:before="240" w:after="240"/>
      <w:jc w:val="left"/>
    </w:pPr>
    <w:rPr>
      <w:rFonts w:ascii="Arial" w:eastAsia="Arial Unicode MS" w:hAnsi="Arial"/>
      <w:snapToGrid w:val="0"/>
      <w:sz w:val="20"/>
      <w:szCs w:val="26"/>
    </w:rPr>
  </w:style>
  <w:style w:type="paragraph" w:customStyle="1" w:styleId="Ragil">
    <w:name w:val="Ragil"/>
    <w:basedOn w:val="Normal"/>
    <w:rsid w:val="00233C6E"/>
    <w:pPr>
      <w:snapToGrid w:val="0"/>
      <w:jc w:val="left"/>
    </w:pPr>
    <w:rPr>
      <w:rFonts w:ascii="Arial" w:eastAsia="Arial Unicode MS" w:hAnsi="Arial"/>
      <w:snapToGrid w:val="0"/>
      <w:sz w:val="20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233C6E"/>
    <w:pPr>
      <w:widowControl/>
      <w:spacing w:before="120" w:after="120"/>
      <w:outlineLvl w:val="9"/>
    </w:pPr>
    <w:rPr>
      <w:rtl/>
      <w:cs/>
    </w:rPr>
  </w:style>
  <w:style w:type="paragraph" w:styleId="TOC1">
    <w:name w:val="toc 1"/>
    <w:basedOn w:val="Normal"/>
    <w:next w:val="Normal"/>
    <w:autoRedefine/>
    <w:uiPriority w:val="39"/>
    <w:unhideWhenUsed/>
    <w:rsid w:val="00233C6E"/>
    <w:pPr>
      <w:tabs>
        <w:tab w:val="right" w:leader="dot" w:pos="9629"/>
      </w:tabs>
      <w:spacing w:after="100"/>
    </w:pPr>
    <w:rPr>
      <w:bCs/>
      <w:szCs w:val="22"/>
    </w:rPr>
  </w:style>
  <w:style w:type="paragraph" w:styleId="TOC2">
    <w:name w:val="toc 2"/>
    <w:basedOn w:val="Normal"/>
    <w:next w:val="Normal"/>
    <w:uiPriority w:val="39"/>
    <w:unhideWhenUsed/>
    <w:rsid w:val="00233C6E"/>
    <w:pPr>
      <w:tabs>
        <w:tab w:val="right" w:leader="dot" w:pos="9628"/>
      </w:tabs>
      <w:spacing w:after="100"/>
    </w:pPr>
    <w:rPr>
      <w:szCs w:val="22"/>
    </w:rPr>
  </w:style>
  <w:style w:type="character" w:styleId="Hyperlink">
    <w:name w:val="Hyperlink"/>
    <w:basedOn w:val="DefaultParagraphFont"/>
    <w:uiPriority w:val="99"/>
    <w:unhideWhenUsed/>
    <w:rsid w:val="00233C6E"/>
    <w:rPr>
      <w:color w:val="0563C1" w:themeColor="hyperlink"/>
      <w:u w:val="single"/>
    </w:rPr>
  </w:style>
  <w:style w:type="paragraph" w:styleId="TOC3">
    <w:name w:val="toc 3"/>
    <w:basedOn w:val="Normal"/>
    <w:next w:val="Normal"/>
    <w:uiPriority w:val="39"/>
    <w:unhideWhenUsed/>
    <w:rsid w:val="00233C6E"/>
    <w:pPr>
      <w:numPr>
        <w:numId w:val="19"/>
      </w:numPr>
      <w:tabs>
        <w:tab w:val="num" w:pos="360"/>
        <w:tab w:val="right" w:leader="dot" w:pos="9629"/>
      </w:tabs>
      <w:spacing w:after="100"/>
      <w:ind w:left="811" w:hanging="357"/>
    </w:pPr>
    <w:rPr>
      <w:szCs w:val="22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233C6E"/>
    <w:pPr>
      <w:tabs>
        <w:tab w:val="right" w:leader="dot" w:pos="9628"/>
      </w:tabs>
      <w:spacing w:after="100"/>
      <w:ind w:left="567"/>
    </w:pPr>
    <w:rPr>
      <w:rFonts w:asciiTheme="minorHAnsi" w:eastAsiaTheme="minorEastAsia" w:hAnsiTheme="minorHAnsi"/>
      <w:noProof/>
      <w:sz w:val="22"/>
      <w:szCs w:val="22"/>
    </w:rPr>
  </w:style>
  <w:style w:type="paragraph" w:styleId="TOC5">
    <w:name w:val="toc 5"/>
    <w:basedOn w:val="Normal"/>
    <w:next w:val="Normal"/>
    <w:semiHidden/>
    <w:unhideWhenUsed/>
    <w:rsid w:val="00233C6E"/>
    <w:pPr>
      <w:tabs>
        <w:tab w:val="right" w:leader="dot" w:pos="9628"/>
      </w:tabs>
      <w:spacing w:after="100"/>
      <w:ind w:left="567"/>
    </w:pPr>
    <w:rPr>
      <w:szCs w:val="22"/>
    </w:rPr>
  </w:style>
  <w:style w:type="paragraph" w:styleId="TOC6">
    <w:name w:val="toc 6"/>
    <w:basedOn w:val="Normal"/>
    <w:next w:val="Normal"/>
    <w:autoRedefine/>
    <w:semiHidden/>
    <w:unhideWhenUsed/>
    <w:rsid w:val="00233C6E"/>
    <w:pPr>
      <w:spacing w:after="100"/>
      <w:ind w:left="850"/>
    </w:pPr>
  </w:style>
  <w:style w:type="paragraph" w:styleId="TOC7">
    <w:name w:val="toc 7"/>
    <w:basedOn w:val="Normal"/>
    <w:next w:val="Normal"/>
    <w:autoRedefine/>
    <w:semiHidden/>
    <w:unhideWhenUsed/>
    <w:rsid w:val="00233C6E"/>
    <w:pPr>
      <w:spacing w:after="100"/>
      <w:ind w:left="1020"/>
    </w:pPr>
  </w:style>
  <w:style w:type="paragraph" w:styleId="TOC8">
    <w:name w:val="toc 8"/>
    <w:basedOn w:val="Normal"/>
    <w:next w:val="Normal"/>
    <w:autoRedefine/>
    <w:semiHidden/>
    <w:unhideWhenUsed/>
    <w:rsid w:val="00233C6E"/>
    <w:pPr>
      <w:spacing w:after="100"/>
      <w:ind w:left="1190"/>
    </w:pPr>
  </w:style>
  <w:style w:type="paragraph" w:styleId="TOC9">
    <w:name w:val="toc 9"/>
    <w:basedOn w:val="Normal"/>
    <w:next w:val="Normal"/>
    <w:autoRedefine/>
    <w:semiHidden/>
    <w:unhideWhenUsed/>
    <w:rsid w:val="00233C6E"/>
    <w:pPr>
      <w:spacing w:after="100"/>
      <w:ind w:left="1360"/>
    </w:pPr>
  </w:style>
  <w:style w:type="paragraph" w:customStyle="1" w:styleId="TableHead2">
    <w:name w:val="Table Head2"/>
    <w:basedOn w:val="TableHead"/>
    <w:qFormat/>
    <w:rsid w:val="00233C6E"/>
    <w:pPr>
      <w:outlineLvl w:val="9"/>
    </w:pPr>
  </w:style>
  <w:style w:type="paragraph" w:customStyle="1" w:styleId="TableSideHeading2">
    <w:name w:val="Table SideHeading2"/>
    <w:basedOn w:val="TableSideHeading"/>
    <w:autoRedefine/>
    <w:qFormat/>
    <w:rsid w:val="00233C6E"/>
    <w:pPr>
      <w:keepLines w:val="0"/>
      <w:outlineLvl w:val="9"/>
    </w:pPr>
  </w:style>
  <w:style w:type="paragraph" w:customStyle="1" w:styleId="0">
    <w:name w:val="סגנון שורה ראשונה:  0  ס''מ"/>
    <w:basedOn w:val="Heading2"/>
    <w:rsid w:val="00233C6E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233C6E"/>
    <w:pPr>
      <w:widowControl/>
      <w:spacing w:line="259" w:lineRule="auto"/>
    </w:pPr>
    <w:rPr>
      <w:rFonts w:asciiTheme="minorHAnsi" w:hAnsiTheme="minorHAnsi"/>
      <w:sz w:val="22"/>
    </w:rPr>
  </w:style>
  <w:style w:type="table" w:styleId="TableGrid">
    <w:name w:val="Table Grid"/>
    <w:basedOn w:val="TableNormal"/>
    <w:rsid w:val="00233C6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233C6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">
    <w:name w:val="Grid Table 1 Light"/>
    <w:basedOn w:val="TableNormal"/>
    <w:uiPriority w:val="46"/>
    <w:rsid w:val="00233C6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a">
    <w:name w:val="טבלת חקיקה"/>
    <w:basedOn w:val="TableNormal"/>
    <w:uiPriority w:val="99"/>
    <w:rsid w:val="00233C6E"/>
    <w:pPr>
      <w:spacing w:after="0" w:line="240" w:lineRule="auto"/>
      <w:jc w:val="center"/>
    </w:pPr>
    <w:rPr>
      <w:rFonts w:ascii="Times New Roman" w:eastAsia="MS Mincho" w:hAnsi="Times New Roman"/>
      <w:sz w:val="20"/>
      <w:szCs w:val="20"/>
    </w:rPr>
    <w:tblPr/>
    <w:tcPr>
      <w:tcMar>
        <w:left w:w="0" w:type="dxa"/>
        <w:right w:w="0" w:type="dxa"/>
      </w:tcMar>
      <w:vAlign w:val="center"/>
    </w:tcPr>
    <w:tblStylePr w:type="firstRow">
      <w:pPr>
        <w:jc w:val="center"/>
      </w:pPr>
      <w:rPr>
        <w:rFonts w:cs="David"/>
        <w:bCs/>
        <w:szCs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10" w:color="auto" w:fill="auto"/>
      </w:tcPr>
    </w:tblStylePr>
    <w:tblStylePr w:type="firstCol">
      <w:tblPr/>
      <w:tcPr>
        <w:noWrap/>
      </w:tcPr>
    </w:tblStylePr>
    <w:tblStylePr w:type="lastCol">
      <w:pPr>
        <w:jc w:val="center"/>
      </w:pPr>
      <w:tblPr/>
      <w:tcPr>
        <w:noWrap/>
      </w:tcPr>
    </w:tblStylePr>
  </w:style>
  <w:style w:type="table" w:customStyle="1" w:styleId="1">
    <w:name w:val="סגנון1"/>
    <w:basedOn w:val="TableNormal"/>
    <w:uiPriority w:val="99"/>
    <w:rsid w:val="00233C6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/>
    <w:tblStylePr w:type="firstCol">
      <w:pPr>
        <w:keepNext w:val="0"/>
        <w:keepLines/>
        <w:pageBreakBefore w:val="0"/>
        <w:widowControl w:val="0"/>
        <w:suppressLineNumbers w:val="0"/>
        <w:suppressAutoHyphens w:val="0"/>
        <w:wordWrap/>
      </w:p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5F05C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5C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F05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05C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05CA"/>
    <w:rPr>
      <w:rFonts w:ascii="David" w:hAnsi="David" w:cs="David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05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05CA"/>
    <w:rPr>
      <w:rFonts w:ascii="David" w:hAnsi="David" w:cs="David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9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1BDA8-A684-4DD7-88E0-FE3C56FA0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1221</Words>
  <Characters>6107</Characters>
  <Application>Microsoft Office Word</Application>
  <DocSecurity>4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</vt:vector>
  </HeadingPairs>
  <TitlesOfParts>
    <vt:vector size="2" baseType="lpstr">
      <vt:lpstr/>
      <vt:lpstr/>
    </vt:vector>
  </TitlesOfParts>
  <Company>Rashut_domain</Company>
  <LinksUpToDate>false</LinksUpToDate>
  <CharactersWithSpaces>7314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 Belkin</dc:creator>
  <cp:keywords/>
  <dc:description/>
  <cp:lastModifiedBy>Melita Shafir</cp:lastModifiedBy>
  <cp:revision>2</cp:revision>
  <dcterms:created xsi:type="dcterms:W3CDTF">2021-05-05T12:14:00Z</dcterms:created>
  <dcterms:modified xsi:type="dcterms:W3CDTF">2021-05-05T12:14:00Z</dcterms:modified>
</cp:coreProperties>
</file>